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shd w:val="clear" w:fill="FFFFFF"/>
        </w:rPr>
        <w:t>中华人民共和国文物保护法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第二章　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第三章　考古发掘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第四章　馆</w:t>
      </w:r>
      <w:bookmarkStart w:id="0" w:name="_GoBack"/>
      <w:bookmarkEnd w:id="0"/>
      <w:r>
        <w:rPr>
          <w:rFonts w:hint="eastAsia" w:asciiTheme="minorEastAsia" w:hAnsiTheme="minorEastAsia" w:eastAsiaTheme="minorEastAsia" w:cstheme="minorEastAsia"/>
          <w:i w:val="0"/>
          <w:iCs w:val="0"/>
          <w:caps w:val="0"/>
          <w:color w:val="333333"/>
          <w:spacing w:val="0"/>
          <w:sz w:val="24"/>
          <w:szCs w:val="24"/>
          <w:shd w:val="clear" w:fill="FFFFFF"/>
        </w:rPr>
        <w:t>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第五章　民间收藏文物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第六章　文物出境进境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第一条　为了加强对文物的保护，传承中华民族优秀历史文化遗产，促进科学研究工作，进行爱国主义和革命传统教育，增强历史自觉、坚定文化自信，建设社会主义精神文明和物质文明，根据宪法，制定本法。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第二条　文物受国家保护。本法所称文物，是指人类创造的或者与人类活动有关的，具有历史、艺术、科学价值的下列物质遗存：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（一）古文化遗址、古墓葬、古建筑、石窟寺和古石刻、古壁画；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（二）与重大历史事件、革命运动或者著名人物有关的以及具有重要纪念意义、教育意义或者史料价值的近代现代重要史迹、实物、代表性建筑；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（三）历史上各时代珍贵的艺术品、工艺美术品；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（四）历史上各时代重要的文献资料、手稿和图书资料等；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（五）反映历史上各时代、各民族社会制度、社会生产、社会生活的代表性实物。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文物认定的主体、标准和程序，由国务院规定并公布。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具有科学价值的古脊椎动物化石和古人类化石同文物一样受国家保护。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第三条　文物分为不可移动文物和可移动文物。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历史上各时代重要实物、艺术品、工艺美术品、文献资料、手稿、图书资料、代表性实物等可移动文物，分为珍贵文物和一般文物；珍贵文物分为一级文物、二级文物、三级文物。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第四条　文物工作坚持中国共产党的领导，坚持以社会主义核心价值观为引领，贯彻保护为主、抢救第一、合理利用、加强管理的方针。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第五条　中华人民共和国境内地下、内水和领海中遗存的一切文物，以及中国管辖的其他海域内遗存的起源于中国的和起源国不明的文物，属于国家所有。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古文化遗址、古墓葬、石窟寺属于国家所有。国家指定保护的纪念建筑物、古建筑、古石刻、古壁画、近代现代代表性建筑等不可移动文物，除国家另有规定的以外，属于国家所有。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国有不可移动文物的所有权不因其所依附的土地的所有权或者使用权的改变而改变。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第六条　下列可移动文物，属于国家所有：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（一）中国境内地下、内水和领海以及中国管辖的其他海域内出土、出水的文物，国家另有规定的除外；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（二）国有文物收藏单位以及其他国家机关、部队和国有企业、事业单位等收藏、保管的文物；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（三）国家征集、购买或者依法没收的文物；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（四）公民、组织捐赠给国家的文物；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（五）法律规定属于国家所有的其他文物。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国有可移动文物的所有权不因其收藏、保管单位的终止或者变更而改变。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第七条　国有文物所有权受法律保护，不容侵犯。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属于集体所有和私人所有的纪念建筑物、古建筑和祖传文物以及依法取得的其他文物，其所有权受法律保护。文物的所有者必须遵守国家有关文物保护的法律、法规的规定。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第八条　一切机关、组织和个人都有依法保护文物的义务。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第九条　国务院文物行政部门主管全国文物保护工作。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地方各级人民政府负责本行政区域内的文物保护工作。县级以上地方人民政府文物行政部门对本行政区域内的文物保护实施监督管理。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县级以上人民政府有关部门在各自的职责范围内，负责有关的文物保护工作。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第十条　国家发展文物保护事业，贯彻落实保护第一、加强管理、挖掘价值、有效利用、让文物活起来的工作要求。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第十一条　文物是不可再生的文化资源。各级人民政府应当重视文物保护，正确处理经济建设、社会发展与文物保护的关系，确保文物安全。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基本建设、旅游发展必须把文物保护放在第一位，严格落实文物保护与安全管理规定，防止建设性破坏和过度商业化。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第十二条　对与中国共产党各个历史时期重大事件、重要会议、重要人物和伟大建党精神等有关的文物，各级人民政府应当采取措施加强保护。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第十三条　县级以上人民政府应当将文物保护事业纳入本级国民经济和社会发展规划，所需经费列入本级预算，确保文物保护事业发展与国民经济和社会发展水平相适应。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国有博物馆、纪念馆、文物保护单位等的事业性收入，纳入预算管理，用于文物保护事业，任何单位或者个人不得侵占、挪用。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国家鼓励通过捐赠等方式设立文物保护社会基金，专门用于文物保护，任何单位或者个人不得侵占、挪用。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第十四条　县级以上人民政府及其文物行政部门应当加强文物普查和专项调查，全面掌握文物资源及保护情况。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县级以上人民政府文物行政部门加强对国有文物资源资产的动态管理，按照国家有关规定，及时报送国有文物资源资产管理情况的报告。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第十五条　国家支持和规范文物价值挖掘阐释，促进中华文明起源与发展研究，传承中华优秀传统文化，弘扬革命文化，发展社会主义先进文化，铸牢中华民族共同体意识，提升中华文化影响力。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第十六条　国家加强文物保护的宣传教育，创新传播方式，增强全民文物保护的意识，营造自觉传承中华民族优秀历史文化遗产的社会氛围。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新闻媒体应当开展文物保护法律法规和文物保护知识的宣传报道，并依法对危害文物安全、破坏文物的行为进行舆论监督。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博物馆、纪念馆、文物保管所、考古遗址公园等有关单位应当结合参观游览内容有针对性地开展文物保护宣传教育活动。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第十七条　国家鼓励开展文物保护的科学研究，推广先进适用的文物保护技术，提高文物保护的科学技术水平。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国家加强文物保护信息化建设，鼓励开展文物保护数字化工作，推进文物资源数字化采集和展示利用。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国家加大考古、修缮、修复等文物保护专业人才培养力度，健全人才培养、使用、评价和激励机制。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第十八条　国家鼓励开展文物利用研究，在确保文物安全的前提下，坚持社会效益优先，有效利用文物资源，提供多样化多层次的文化产品与服务。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第十九条　国家健全社会参与机制，调动社会力量参与文化遗产保护的积极性，鼓励引导社会力量投入文化遗产保护。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第二十条　国家支持开展考古、修缮、修复、展览、科学研究、执法、司法等文物保护国际交流与合作，促进人类文明交流互鉴。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第二十一条　县级以上人民政府文物行政部门或者有关部门应当公开投诉、举报方式等信息，及时受理并处理涉及文物保护的投诉、举报。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第二十二条　有下列事迹之一的单位或者个人，按照国家有关规定给予表彰、奖励：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（一）认真执行文物保护法律、法规，保护文物成绩显著的；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（二）为保护文物与违法犯罪行为作坚决斗争的；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（三）将收藏的重要文物捐献给国家或者向文物保护事业捐赠的；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（四）发现文物及时上报或者上交，使文物得到保护的；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（五）在考古发掘、文物价值挖掘阐释等工作中做出重大贡献的；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（六）在文物保护科学技术方面有重要发明创造或者其他重要贡献的；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（七）在文物面临破坏危险时，抢救文物有功的；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（八）长期从事文物工作，做出显著成绩的；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（九）组织、参与文物保护志愿服务，做出显著成绩的；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（十）在文物保护国际交流与合作中做出重大贡献的。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第二章　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第二十三条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国务院文物行政部门在省级和设区的市级、县级文物保护单位中，选择具有重大历史、艺术、科学价值的确定为全国重点文物保护单位，或者直接确定为全国重点文物保护单位，报国务院核定公布。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省级文物保护单位，由省、自治区、直辖市人民政府核定公布，并报国务院备案。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设区的市级和县级文物保护单位，分别由设区的市、自治州人民政府和县级人民政府核定公布，并报省、自治区、直辖市人民政府备案。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未定级不可移动文物，由县级人民政府文物行政部门登记，报本级人民政府和上一级人民政府文物行政部门备案，并向社会公布。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第二十四条　在旧城区改建、土地成片开发中，县级以上人民政府应当事先组织进行相关区域内不可移动文物调查，及时开展核定、登记、公布工作，并依法采取保护措施。未经调查，任何单位不得开工建设，防止建设性破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第二十五条　保存文物特别丰富并且具有重大历史价值或者革命纪念意义的城市，由国务院核定公布为历史文化名城。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保存文物特别丰富并且具有重大历史价值或者革命纪念意义的城镇、街道、村庄，由省、自治区、直辖市人民政府核定公布为历史文化街区、村镇，并报国务院备案。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历史文化名城和历史文化街区、村镇所在地县级以上地方人民政府应当组织编制专门的历史文化名城和历史文化街区、村镇保护规划，并纳入有关规划。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历史文化名城和历史文化街区、村镇的保护办法，由国务院制定。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第二十六条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未定级不可移动文物，由县级人民政府文物行政部门作出标志说明，建立记录档案，明确管理责任人。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县级以上地方人民政府文物行政部门应当根据不同文物的保护需要，制定文物保护单位和未定级不可移动文物的具体保护措施，向本级人民政府报告，并公告施行。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文物行政部门应当指导、鼓励基层群众性自治组织、志愿者等参与不可移动文物保护工作。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第二十七条　各级人民政府制定有关规划，应当根据文物保护的需要，事先由有关部门会同文物行政部门商定本行政区域内不可移动文物的保护措施，并纳入规划。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第二十八条　在文物保护单位的保护范围内不得进行文物保护工程以外的其他建设工程或者爆破、钻探、挖掘等作业；因特殊情况需要进行的，必须保证文物保护单位的安全。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第二十九条　根据保护文物的实际需要，经省、自治区、直辖市人民政府批准，可以在文物保护单位的周围划出一定的建设控制地带，并予以公布。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第三十一条　建设工程选址，应当尽可能避开不可移动文物；因特殊情况不能避开的，应当尽可能实施原址保护。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依照前款规定拆除国有不可移动文物，由文物行政部门监督实施，对具有收藏价值的壁画、雕塑、建筑构件等，由文物行政部门指定的文物收藏单位收藏。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本条规定的原址保护、迁移、拆除所需费用，由建设单位列入建设工程预算。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第三十二条　国有不可移动文物由使用人负责修缮、保养；非国有不可移动文物由所有人或者使用人负责修缮、保养，县级以上人民政府可以予以补助。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对文物保护单位进行修缮，应当根据文物保护单位的级别报相应的文物行政部门批准；对未定级不可移动文物进行修缮，应当报县级人民政府文物行政部门批准。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文物保护单位的修缮、迁移、重建，由取得文物保护工程资质证书的单位承担。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对不可移动文物进行修缮、保养、迁移，必须遵守不改变文物原状和最小干预的原则，确保文物的真实性和完整性。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县级以上人民政府文物行政部门应当加强对不可移动文物保护的监督检查，及时发现问题隐患，防范安全风险，并督促指导不可移动文物所有人或者使用人履行保护职责。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第三十三条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第三十五条　国有不可移动文物不得转让、抵押，国家另有规定的，依照其规定。建立博物馆、文物保管所或者辟为参观游览场所的国有不可移动文物，不得改作企业资产经营；其管理机构不得改由企业管理。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依托历史文化街区、村镇进行旅游等开发建设活动的，应当严格落实相关保护规划和保护措施，控制大规模搬迁，防止过度开发，加强整体保护和活态传承。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第三十六条　非国有不可移动文物不得转让、抵押给外国人、外国组织或者国际组织。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非国有不可移动文物转让、抵押或者改变用途的，应当报相应的文物行政部门备案。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第三十七条　县级以上人民政府及其有关部门应当采取措施，在确保文物安全的前提下，因地制宜推动不可移动文物有效利用。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文物保护单位应当尽可能向社会开放。文物保护单位向社会开放，应当合理确定开放时间和游客承载量，并向社会公布，积极为游客提供必要的便利。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为保护不可移动文物建立的博物馆、纪念馆、文物保管所、考古遗址公园等单位，应当加强对不可移动文物价值的挖掘阐释，开展有针对性的宣传讲解。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第三十八条　使用不可移动文物，必须遵守不改变文物原状和最小干预的原则，负责保护文物本体及其附属文物的安全，不得损毁、改建、添建或者拆除不可移动文物。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对危害不可移动文物安全、破坏不可移动文物历史风貌的建筑物、构筑物，当地人民政府应当及时调查处理；必要时，对该建筑物、构筑物依法予以拆除、迁移。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第三十九条　不可移动文物的所有人或者使用人应当加强用火、用电、用气等的消防安全管理，根据不可移动文物的特点，采取有针对性的消防安全措施，提高火灾预防和应急处置能力，确保文物安全。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第四十条　省、自治区、直辖市人民政府可以将地下埋藏、水下遗存的文物分布较为集中，需要整体保护的区域划定为地下文物埋藏区、水下文物保护区，制定具体保护措施，并公告施行。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地下文物埋藏区、水下文物保护区涉及两个以上省、自治区、直辖市的，或者涉及中国领海以外由中国管辖的其他海域的，由国务院文物行政部门划定并制定具体保护措施，报国务院核定公布。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第三章　考古发掘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第四十一条　一切考古发掘工作，必须履行报批手续；从事考古发掘的单位，应当取得国务院文物行政部门颁发的考古发掘资质证书。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地下埋藏和水下遗存的文物，任何单位或者个人都不得私自发掘。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第四十二条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第四十三条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第四十四条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确因建设工期紧迫或者有自然破坏危险，对古文化遗址、古墓葬急需进行抢救发掘的，由省、自治区、直辖市人民政府文物行政部门组织发掘，并同时补办审批手续。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第四十五条　凡因进行基本建设和生产建设需要的考古调查、勘探、发掘，所需费用由建设单位列入建设工程预算。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县级以上人民政府可以通过适当方式对考古调查、勘探、发掘工作给予支持。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依照前款规定发现的文物属于国家所有，任何单位或者个人不得哄抢、私分、藏匿。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第四十七条　未经国务院文物行政部门报国务院特别许可，任何外国人、外国组织或者国际组织不得在中国境内进行考古调查、勘探、发掘。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第四十八条　考古调查、勘探、发掘的结果，应当如实报告国务院文物行政部门和省、自治区、直辖市人民政府文物行政部门。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考古发掘的文物和考古发掘资料，任何单位或者个人不得侵占。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第四十九条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第四章　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第五十条　国家鼓励和支持文物收藏单位收藏、保护可移动文物，开展文物展览展示、宣传教育和科学研究等活动。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有关部门应当在设立条件、社会服务要求、财税扶持政策等方面，公平对待国有文物收藏单位和非国有文物收藏单位。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第五十一条　博物馆、图书馆和其他文物收藏单位对其收藏的文物（以下称馆藏文物），必须按照国家有关文物定级标准区分文物等级，设置档案，建立严格的管理制度，并报主管的文物行政部门备案。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县级以上地方人民政府文物行政部门应当建立本行政区域内的馆藏文物档案；国务院文物行政部门应当建立全国馆藏一级文物档案和其主管的国有文物收藏单位馆藏文物档案。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第五十二条　文物收藏单位可以通过下列方式取得文物：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（二）接受捐赠；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（三）依法交换；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（四）法律、行政法规规定的其他方式。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国有文物收藏单位还可以通过文物行政部门指定收藏或者调拨方式取得文物。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文物收藏单位应当依法履行合理注意义务，对拟征集、购买文物来源的合法性进行了解、识别。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第五十三条　文物收藏单位应当根据馆藏文物的保护需要，按照国家有关规定建立、健全管理制度，并报主管的文物行政部门备案。未经批准，任何单位或者个人不得调取馆藏文物。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文物收藏单位的法定代表人或者主要负责人对馆藏文物的安全负责。文物收藏单位的法定代表人或者主要负责人离任时，应当按照馆藏文物档案办理馆藏文物移交手续。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第五十四条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国有文物收藏单位可以申请调拨国有馆藏文物。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第五十五条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文物收藏单位应当为学校、科研机构开展有关教育教学、科学研究等活动提供支持和帮助。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博物馆应当按照国家有关规定向公众开放，合理确定开放时间和接待人数并向社会公布，采用多种形式提供科学、准确、生动的文字说明和讲解服务。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第五十六条　国有文物收藏单位之间因举办展览、科学研究等需借用馆藏文物的，应当报主管的文物行政部门备案；借用馆藏一级文物的，应当同时报国务院文物行政部门备案。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非国有文物收藏单位和其他单位举办展览需借用国有馆藏文物的，应当报主管的文物行政部门批准；借用国有馆藏一级文物的，应当经国务院文物行政部门批准。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文物收藏单位之间借用文物的，应当签订借用协议，协议约定的期限不得超过三年。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第五十七条　已经依照本法规定建立馆藏文物档案、管理制度的国有文物收藏单位之间可以交换馆藏文物；交换馆藏文物的，应当经省、自治区、直辖市人民政府文物行政部门批准，并报国务院文物行政部门备案。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第五十八条　未依照本法规定建立馆藏文物档案、管理制度的国有文物收藏单位，不得依照本法第五十五条至第五十七条的规定借用、交换其馆藏文物。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第五十九条　依法调拨、交换、借用馆藏文物，取得文物的文物收藏单位可以对提供文物的文物收藏单位给予合理补偿。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文物收藏单位调拨、交换、出借文物所得的补偿费用，必须用于改善文物的收藏条件和收集新的文物，不得挪作他用；任何单位或者个人不得侵占。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调拨、交换、借用的文物必须严格保管，不得丢失、损毁。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第六十条　禁止国有文物收藏单位将馆藏文物赠与、出租、出售或者抵押、质押给其他单位、个人。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第六十一条　国有文物收藏单位不再收藏的文物退出馆藏的办法，由国务院文物行政部门制定并公布。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第六十二条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不可移动文物的单体文物的修复、复制、拍摄、拓印，适用前款规定。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第六十三条　博物馆、图书馆和其他收藏文物的单位应当按照国家有关规定配备防火、防盗、防自然损坏的设施，并采取相应措施，确保收藏文物的安全。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第六十四条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馆藏文物被盗、被抢或者丢失的，文物收藏单位应当立即向公安机关报案，并同时向主管的文物行政部门报告。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第六十五条　文物行政部门和国有文物收藏单位的工作人员不得借用国有文物，不得非法侵占国有文物。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第五章　民间收藏文物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第六十六条　国家鼓励公民、组织合法收藏，加强对民间收藏活动的指导、管理和服务。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第六十七条　文物收藏单位以外的公民、组织可以收藏通过下列方式取得的文物：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（一）依法继承或者接受赠与；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（二）从文物销售单位购买；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（三）通过经营文物拍卖的拍卖企业（以下称文物拍卖企业）购买；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（四）公民个人合法所有的文物相互交换或者依法转让；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（五）国家规定的其他合法方式。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文物收藏单位以外的公民、组织收藏的前款文物可以依法流通。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第六十八条　禁止买卖下列文物：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（一）国有文物，但是国家允许的除外；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（二）国有不可移动文物中的壁画、雕塑、建筑构件等，但是依法拆除的国有不可移动文物中的壁画、雕塑、建筑构件等不属于本法第三十一条第四款规定的应由文物收藏单位收藏的除外；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（三）非国有馆藏珍贵文物；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（四）国务院有关部门通报或者公告的被盗文物以及其他来源不符合本法第六十七条规定的文物；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（五）外国政府、相关国际组织按照有关国际公约通报或者公告的流失文物。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第六十九条　国家鼓励文物收藏单位以外的公民、组织将其收藏的文物捐赠给文物收藏单位或者出借给文物收藏单位展览和研究。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文物收藏单位应当尊重并按照捐赠人的意愿，对受赠的文物妥善收藏、保管和展示。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国家禁止出境的文物，不得转让、出租、抵押、质押给境外组织或者个人。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第七十条　文物销售单位应当取得省、自治区、直辖市人民政府文物行政部门颁发的文物销售许可证。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文物销售单位不得从事文物拍卖经营活动，不得设立文物拍卖企业。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第七十一条　依法设立的拍卖企业经营文物拍卖的，应当取得省、自治区、直辖市人民政府文物行政部门颁发的文物拍卖许可证。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文物拍卖企业不得从事文物销售经营活动，不得设立文物销售单位。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第七十二条　文物行政部门的工作人员不得举办或者参与举办文物销售单位或者文物拍卖企业。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文物收藏单位及其工作人员不得举办或者参与举办文物销售单位或者文物拍卖企业。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禁止设立外商投资的文物销售单位或者文物拍卖企业。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除文物销售单位、文物拍卖企业外，其他单位或者个人不得从事文物商业经营活动。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第七十三条　文物销售单位不得销售、文物拍卖企业不得拍卖本法第六十八条规定的文物。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文物拍卖企业拍卖的文物，在拍卖前应当经省、自治区、直辖市人民政府文物行政部门依照前款规定进行审核，并报国务院文物行政部门备案。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文物销售单位销售文物、文物拍卖企业拍卖文物，应当如实表述文物的相关信息，不得进行虚假宣传。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第七十四条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拍卖文物时，委托人、买受人要求对其身份保密的，文物行政部门应当为其保密；法律、行政法规另有规定的除外。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第七十五条　文物行政部门在审核拟拍卖的文物时，可以指定国有文物收藏单位优先购买其中的珍贵文物。购买价格由国有文物收藏单位的代表与文物的委托人协商确定。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第七十六条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第六章　文物出境进境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第七十七条　国有文物、非国有文物中的珍贵文物和国家禁止出境的其他文物，不得出境；依照本法规定出境展览，或者因特殊需要经国务院批准出境的除外。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国家禁止出境的文物的具体范围，由国务院文物行政部门规定并公布。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第七十八条　文物出境，应当经国务院文物行政部门指定的文物进出境审核机构审核。经审核允许出境的文物，由国务院文物行政部门颁发文物出境许可证，从国务院文物行政部门指定的口岸出境。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任何单位或者个人运送、邮寄、携带文物出境，应当向海关申报；海关凭文物出境许可证放行。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第七十九条　文物出境展览，应当报国务院文物行政部门批准；一级文物超过国务院规定数量的，应当报国务院批准。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一级文物中的孤品和易损品，禁止出境展览。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出境展览的文物出境，由文物进出境审核机构审核、登记。海关凭国务院文物行政部门或者国务院的批准文件放行。出境展览的文物复进境，由原审核、登记的文物进出境审核机构审核查验。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第八十条　文物临时进境，应当向海关申报，并报文物进出境审核机构审核、登记。文物进出境审核机构发现临时进境的文物属于本法第六十八条规定的文物的，应当向国务院文物行政部门报告并通报海关。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临时进境的文物复出境，必须经原审核、登记的文物进出境审核机构审核查验；经审核查验无误的，由国务院文物行政部门颁发文物出境许可证，海关凭文物出境许可证放行。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第八十一条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国家对于因被盗、非法出境等流失境外的文物，保留收回的权利，且该权利不受时效限制。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第八十二条　违反本法规定，地方各级人民政府和县级以上人民政府有关部门及其工作人员，以及其他依法履行公职的人员，滥用职权、玩忽职守、徇私舞弊的，对负有责任的领导人员和直接责任人员依法给予处分。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（一）擅自在文物保护单位的保护范围内进行文物保护工程以外的其他建设工程或者爆破、钻探、挖掘等作业；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（二）工程设计方案未经文物行政部门同意，擅自在文物保护单位的建设控制地带内进行建设工程；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（三）未制定不可移动文物原址保护措施，或者不可移动文物原址保护措施未经文物行政部门批准，擅自开工建设；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（四）擅自迁移、拆除不可移动文物；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（五）擅自修缮不可移动文物，明显改变文物原状；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（六）擅自在原址重建已经全部毁坏的不可移动文物；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（七）未取得文物保护工程资质证书，擅自从事文物修缮、迁移、重建；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（八）进行大型基本建设工程，或者在文物保护单位的保护范围、建设控制地带内进行建设工程，未依法进行考古调查、勘探。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损毁依照本法规定设立的不可移动文物保护标志的，由县级以上人民政府文物行政部门给予警告，可以并处五百元以下的罚款。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第八十四条　在文物保护单位的保护范围或者建设控制地带内建设污染文物保护单位及其环境的设施的，由生态环境主管部门依法给予处罚。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第八十五条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（一）转让或者抵押国有不可移动文物；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（二）将建立博物馆、文物保管所或者辟为参观游览场所的国有不可移动文物改作企业资产经营，或者将其管理机构改由企业管理；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（三）将非国有不可移动文物转让或者抵押给外国人、外国组织或者国际组织；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（四）擅自改变国有文物保护单位中的纪念建筑物或者古建筑的用途。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第八十六条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（一）文物收藏单位未按照国家有关规定配备防火、防盗、防自然损坏的设施；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（二）文物收藏单位法定代表人或者主要负责人离任时未按照馆藏文物档案移交馆藏文物，或者所移交的馆藏文物与馆藏文物档案不符；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（三）国有文物收藏单位将馆藏文物赠与、出租、出售或者抵押、质押给其他单位、个人；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（四）违反本法规定借用、交换馆藏文物；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（五）挪用或者侵占依法调拨、交换、出借文物所得的补偿费用。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第八十九条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第九十条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（一）文物销售单位从事文物拍卖经营活动；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（二）文物拍卖企业从事文物销售经营活动；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（三）文物拍卖企业拍卖的文物，未经审核；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（四）文物收藏单位从事文物商业经营活动；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（五）文物销售单位、文物拍卖企业知假售假、知假拍假或者进行虚假宣传。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第九十一条　有下列行为之一的，由县级以上人民政府文物行政部门会同公安机关、海上执法机关追缴文物，给予警告；情节严重的，对单位处十万元以上三百万元以下的罚款，对个人处五千元以上五万元以下的罚款：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（一）发现文物隐匿不报或者拒不上交；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（二）未按照规定移交拣选文物。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第九十二条　文物进出境未依照本法规定申报的，由海关或者海上执法机关依法给予处罚。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第九十三条　有下列行为之一的，由县级以上人民政府文物行政部门责令改正；情节严重的，对单位处十万元以上三百万元以下的罚款，限制业务活动或者由原发证机关吊销许可证书，对个人处五千元以上五万元以下的罚款：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（一）改变国有未定级不可移动文物的用途，未依照本法规定报告；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（二）转让、抵押非国有不可移动文物或者改变其用途，未依照本法规定备案；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（三）国有不可移动文物的使用人具备修缮能力但拒不依法履行修缮义务；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（四）从事考古发掘的单位未经批准擅自进行考古发掘，或者不如实报告考古调查、勘探、发掘结果，或者未按照规定移交考古发掘的文物；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（五）文物收藏单位未按照国家有关规定建立馆藏文物档案、管理制度，或者未将馆藏文物档案、管理制度备案；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（六）未经批准擅自调取馆藏文物；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（七）未经批准擅自修复、复制、拓印文物；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（八）馆藏文物损毁未报文物行政部门核查处理，或者馆藏文物被盗、被抢或者丢失，文物收藏单位未及时向公安机关或者文物行政部门报告；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（九）文物销售单位销售文物或者文物拍卖企业拍卖文物，未按照国家有关规定作出记录或者未将所作记录报文物行政部门备案。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第九十四条　文物行政部门、文物收藏单位、文物销售单位、文物拍卖企业的工作人员，有下列行为之一的，依法给予处分；情节严重的，依法开除公职或者吊销其从业资格证书：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（一）文物行政部门和国有文物收藏单位的工作人员借用或者非法侵占国有文物；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（二）文物行政部门、文物收藏单位的工作人员举办或者参与举办文物销售单位或者文物拍卖企业；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（三）因不负责任造成文物保护单位、珍贵文物损毁或者流失；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（四）贪污、挪用文物保护经费。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前款被开除公职或者被吊销从业资格证书的人员，自被开除公职或者被吊销从业资格证书之日起十年内不得担任文物管理人员或者从事文物经营活动。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第九十五条　单位违反本法规定受到行政处罚，情节严重的，对单位直接负责的主管人员和其他直接责任人员处五千元以上五万元以下的罚款。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第九十六条　违反本法规定，损害他人民事权益的，依法承担民事责任；构成违反治安管理行为的，由公安机关依法给予治安管理处罚；构成犯罪的，依法追究刑事责任。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第九十七条　县级以上人民政府文物行政部门依法实施监督检查，可以采取下列措施：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（一）进入现场进行检查；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（二）查阅、复制有关文件资料，询问有关人员，对可能被转移、销毁或者篡改的文件资料予以封存；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（三）查封、扣押涉嫌违法活动的场所、设施或者财物；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（四）责令行为人停止侵害文物的行为。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第九十八条　监察委员会、人民法院、人民检察院、公安机关、海关、市场监督管理部门和海上执法机关依法没收的文物应当登记造册，妥善保管，结案后无偿移交文物行政部门，由文物行政部门指定的国有文物收藏单位收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第九十九条　因违反本法规定造成文物严重损害或者存在严重损害风险，致使社会公共利益受到侵害的，人民检察院可以依照有关诉讼法的规定提起公益诉讼。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第一百条　文物保护有关行政许可的条件、期限等，本法未作规定的，适用《中华人民共和国行政许可法》和有关法律、行政法规的规定。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第一百零一条　本法自2025年3月1日起施行。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9"/>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NjU3MTMwYWMzYmE5MjA5OGIxZGVjNmY2ODkyNDkifQ=="/>
  </w:docVars>
  <w:rsids>
    <w:rsidRoot w:val="00000000"/>
    <w:rsid w:val="04D94B9F"/>
    <w:rsid w:val="0DE67374"/>
    <w:rsid w:val="130E15D4"/>
    <w:rsid w:val="151E0697"/>
    <w:rsid w:val="180E4B97"/>
    <w:rsid w:val="205B0707"/>
    <w:rsid w:val="22C31AFD"/>
    <w:rsid w:val="2C86459A"/>
    <w:rsid w:val="2ED72C62"/>
    <w:rsid w:val="2F8037F4"/>
    <w:rsid w:val="40004226"/>
    <w:rsid w:val="43CE1B59"/>
    <w:rsid w:val="48E66D5E"/>
    <w:rsid w:val="490149C0"/>
    <w:rsid w:val="5041058C"/>
    <w:rsid w:val="56B31286"/>
    <w:rsid w:val="5D38043B"/>
    <w:rsid w:val="5D40082C"/>
    <w:rsid w:val="66253E9A"/>
    <w:rsid w:val="6A501067"/>
    <w:rsid w:val="6E3B6E40"/>
    <w:rsid w:val="70BB05FF"/>
    <w:rsid w:val="7BFA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10">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1">
    <w:name w:val="新大 表格下 资料来源"/>
    <w:basedOn w:val="1"/>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2">
    <w:name w:val="1.1.1.1三级节标题"/>
    <w:basedOn w:val="13"/>
    <w:qFormat/>
    <w:uiPriority w:val="0"/>
    <w:rPr>
      <w:sz w:val="24"/>
    </w:rPr>
  </w:style>
  <w:style w:type="paragraph" w:customStyle="1" w:styleId="13">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4">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5">
    <w:name w:val="1章节标题"/>
    <w:basedOn w:val="1"/>
    <w:link w:val="16"/>
    <w:qFormat/>
    <w:uiPriority w:val="0"/>
    <w:pPr>
      <w:spacing w:before="480" w:after="360"/>
      <w:jc w:val="center"/>
    </w:pPr>
    <w:rPr>
      <w:rFonts w:hint="eastAsia" w:ascii="Times New Roman" w:hAnsi="Times New Roman" w:eastAsia="黑体" w:cs="Times New Roman"/>
      <w:sz w:val="32"/>
    </w:rPr>
  </w:style>
  <w:style w:type="character" w:customStyle="1" w:styleId="16">
    <w:name w:val="1章节标题 Char"/>
    <w:link w:val="15"/>
    <w:qFormat/>
    <w:uiPriority w:val="0"/>
    <w:rPr>
      <w:rFonts w:hint="eastAsia" w:ascii="Times New Roman" w:hAnsi="Times New Roman" w:eastAsia="黑体" w:cs="Times New Roman"/>
      <w:sz w:val="32"/>
    </w:rPr>
  </w:style>
  <w:style w:type="paragraph" w:customStyle="1" w:styleId="17">
    <w:name w:val="1.1一级节标题"/>
    <w:basedOn w:val="1"/>
    <w:next w:val="1"/>
    <w:link w:val="18"/>
    <w:qFormat/>
    <w:uiPriority w:val="0"/>
    <w:pPr>
      <w:spacing w:before="480" w:after="120"/>
      <w:ind w:firstLine="0" w:firstLineChars="0"/>
      <w:jc w:val="left"/>
    </w:pPr>
    <w:rPr>
      <w:rFonts w:ascii="Calibri" w:hAnsi="Calibri" w:eastAsia="黑体" w:cs="Times New Roman"/>
      <w:sz w:val="28"/>
    </w:rPr>
  </w:style>
  <w:style w:type="character" w:customStyle="1" w:styleId="18">
    <w:name w:val="1.1一级节标题 Char"/>
    <w:link w:val="17"/>
    <w:qFormat/>
    <w:uiPriority w:val="0"/>
    <w:rPr>
      <w:rFonts w:ascii="Calibri" w:hAnsi="Calibri" w:eastAsia="黑体" w:cs="Times New Roman"/>
      <w:sz w:val="28"/>
    </w:rPr>
  </w:style>
  <w:style w:type="paragraph" w:customStyle="1" w:styleId="19">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20">
    <w:name w:val="新大 下方资料来源"/>
    <w:basedOn w:val="1"/>
    <w:link w:val="21"/>
    <w:qFormat/>
    <w:uiPriority w:val="0"/>
    <w:pPr>
      <w:wordWrap w:val="0"/>
      <w:spacing w:before="120" w:after="240" w:line="240" w:lineRule="auto"/>
      <w:ind w:firstLine="0" w:firstLineChars="0"/>
      <w:jc w:val="left"/>
    </w:pPr>
    <w:rPr>
      <w:rFonts w:hint="eastAsia" w:cs="Times New Roman"/>
      <w:sz w:val="21"/>
    </w:rPr>
  </w:style>
  <w:style w:type="character" w:customStyle="1" w:styleId="21">
    <w:name w:val="新大 表格下 资料来源 Char"/>
    <w:link w:val="20"/>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15630</Words>
  <Characters>15729</Characters>
  <Lines>0</Lines>
  <Paragraphs>0</Paragraphs>
  <TotalTime>58</TotalTime>
  <ScaleCrop>false</ScaleCrop>
  <LinksUpToDate>false</LinksUpToDate>
  <CharactersWithSpaces>15846</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ADMIN</cp:lastModifiedBy>
  <dcterms:modified xsi:type="dcterms:W3CDTF">2024-11-11T08:31:30Z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8F73D4DD10594D0EB3374290F93314B0_12</vt:lpwstr>
  </property>
</Properties>
</file>