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rPr>
      </w:pPr>
    </w:p>
    <w:p>
      <w:pPr>
        <w:spacing w:line="540" w:lineRule="exact"/>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华文中宋"/>
          <w:b/>
          <w:kern w:val="0"/>
          <w:sz w:val="52"/>
          <w:szCs w:val="52"/>
        </w:rPr>
      </w:pPr>
    </w:p>
    <w:p>
      <w:pPr>
        <w:spacing w:line="540" w:lineRule="exact"/>
        <w:jc w:val="center"/>
        <w:rPr>
          <w:rFonts w:eastAsia="方正小标宋_GBK"/>
          <w:kern w:val="0"/>
          <w:sz w:val="48"/>
          <w:szCs w:val="48"/>
        </w:rPr>
      </w:pPr>
      <w:r>
        <w:rPr>
          <w:rFonts w:hint="eastAsia" w:eastAsia="方正小标宋_GBK"/>
          <w:kern w:val="0"/>
          <w:sz w:val="48"/>
          <w:szCs w:val="48"/>
        </w:rPr>
        <w:t>自治区本级政府购买演出</w:t>
      </w:r>
      <w:r>
        <w:rPr>
          <w:rFonts w:eastAsia="方正小标宋_GBK"/>
          <w:kern w:val="0"/>
          <w:sz w:val="48"/>
          <w:szCs w:val="48"/>
        </w:rPr>
        <w:t>资金项目</w:t>
      </w:r>
    </w:p>
    <w:p>
      <w:pPr>
        <w:spacing w:line="540" w:lineRule="exact"/>
        <w:jc w:val="center"/>
        <w:rPr>
          <w:rFonts w:eastAsia="方正小标宋_GBK"/>
          <w:kern w:val="0"/>
          <w:sz w:val="48"/>
          <w:szCs w:val="48"/>
        </w:rPr>
      </w:pPr>
      <w:r>
        <w:rPr>
          <w:rFonts w:eastAsia="方正小标宋_GBK"/>
          <w:kern w:val="0"/>
          <w:sz w:val="48"/>
          <w:szCs w:val="48"/>
        </w:rPr>
        <w:t>支出绩效评价报告</w:t>
      </w:r>
    </w:p>
    <w:p>
      <w:pPr>
        <w:spacing w:line="540" w:lineRule="exact"/>
        <w:jc w:val="center"/>
        <w:rPr>
          <w:rFonts w:eastAsia="华文中宋"/>
          <w:b/>
          <w:kern w:val="0"/>
          <w:sz w:val="52"/>
          <w:szCs w:val="52"/>
        </w:rPr>
      </w:pPr>
    </w:p>
    <w:p>
      <w:pPr>
        <w:spacing w:line="540" w:lineRule="exact"/>
        <w:jc w:val="center"/>
        <w:rPr>
          <w:rFonts w:eastAsia="仿宋_GB2312"/>
          <w:kern w:val="0"/>
          <w:sz w:val="36"/>
          <w:szCs w:val="36"/>
        </w:rPr>
      </w:pPr>
      <w:r>
        <w:rPr>
          <w:rFonts w:eastAsia="仿宋_GB2312"/>
          <w:kern w:val="0"/>
          <w:sz w:val="36"/>
          <w:szCs w:val="36"/>
        </w:rPr>
        <w:t>（ 2022年度）</w:t>
      </w: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spacing w:line="540" w:lineRule="exact"/>
        <w:jc w:val="center"/>
        <w:rPr>
          <w:rFonts w:eastAsia="仿宋_GB2312"/>
          <w:kern w:val="0"/>
          <w:sz w:val="30"/>
          <w:szCs w:val="30"/>
        </w:rPr>
      </w:pPr>
    </w:p>
    <w:p>
      <w:pPr>
        <w:pStyle w:val="2"/>
      </w:pPr>
    </w:p>
    <w:p>
      <w:pPr>
        <w:spacing w:line="540" w:lineRule="exact"/>
        <w:jc w:val="center"/>
        <w:rPr>
          <w:rFonts w:eastAsia="仿宋_GB2312"/>
          <w:kern w:val="0"/>
          <w:sz w:val="30"/>
          <w:szCs w:val="30"/>
        </w:rPr>
      </w:pPr>
    </w:p>
    <w:p>
      <w:pPr>
        <w:spacing w:line="540" w:lineRule="exact"/>
        <w:rPr>
          <w:rFonts w:eastAsia="仿宋_GB2312"/>
          <w:kern w:val="0"/>
          <w:sz w:val="30"/>
          <w:szCs w:val="30"/>
        </w:rPr>
      </w:pPr>
    </w:p>
    <w:p>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自治区本级政府购买演出</w:t>
      </w:r>
    </w:p>
    <w:p>
      <w:pPr>
        <w:spacing w:line="700" w:lineRule="exact"/>
        <w:ind w:firstLine="1440" w:firstLineChars="400"/>
        <w:jc w:val="left"/>
        <w:rPr>
          <w:rFonts w:hint="eastAsia" w:eastAsia="仿宋_GB2312"/>
          <w:kern w:val="0"/>
          <w:sz w:val="36"/>
          <w:szCs w:val="36"/>
          <w:lang w:eastAsia="zh-CN"/>
        </w:rPr>
      </w:pPr>
      <w:r>
        <w:rPr>
          <w:rFonts w:eastAsia="仿宋_GB2312"/>
          <w:kern w:val="0"/>
          <w:sz w:val="36"/>
          <w:szCs w:val="36"/>
        </w:rPr>
        <w:t>实施单位（公章）：</w:t>
      </w:r>
      <w:r>
        <w:rPr>
          <w:rFonts w:hint="eastAsia" w:eastAsia="仿宋_GB2312"/>
          <w:kern w:val="0"/>
          <w:sz w:val="36"/>
          <w:szCs w:val="36"/>
          <w:lang w:eastAsia="zh-CN"/>
        </w:rPr>
        <w:t>新疆艺术剧院话剧团</w:t>
      </w:r>
    </w:p>
    <w:p>
      <w:pPr>
        <w:spacing w:line="700" w:lineRule="exact"/>
        <w:ind w:firstLine="1440" w:firstLineChars="400"/>
        <w:jc w:val="left"/>
        <w:rPr>
          <w:rFonts w:hint="eastAsia" w:eastAsia="仿宋_GB2312"/>
          <w:kern w:val="0"/>
          <w:sz w:val="36"/>
          <w:szCs w:val="36"/>
          <w:lang w:eastAsia="zh-CN"/>
        </w:rPr>
      </w:pPr>
      <w:r>
        <w:rPr>
          <w:rFonts w:eastAsia="仿宋_GB2312"/>
          <w:kern w:val="0"/>
          <w:sz w:val="36"/>
          <w:szCs w:val="36"/>
        </w:rPr>
        <w:t>主管部门（公章）：</w:t>
      </w:r>
      <w:r>
        <w:rPr>
          <w:rFonts w:hint="eastAsia" w:eastAsia="仿宋_GB2312"/>
          <w:kern w:val="0"/>
          <w:sz w:val="36"/>
          <w:szCs w:val="36"/>
          <w:lang w:eastAsia="zh-CN"/>
        </w:rPr>
        <w:t>自治区文化和旅游厅</w:t>
      </w:r>
    </w:p>
    <w:p>
      <w:pPr>
        <w:spacing w:line="700" w:lineRule="exact"/>
        <w:ind w:firstLine="1440" w:firstLineChars="400"/>
        <w:jc w:val="left"/>
        <w:rPr>
          <w:rFonts w:hint="eastAsia" w:eastAsia="仿宋_GB2312"/>
          <w:kern w:val="0"/>
          <w:sz w:val="36"/>
          <w:szCs w:val="36"/>
          <w:lang w:eastAsia="zh-CN"/>
        </w:rPr>
      </w:pPr>
      <w:r>
        <w:rPr>
          <w:rFonts w:eastAsia="仿宋_GB2312"/>
          <w:kern w:val="0"/>
          <w:sz w:val="36"/>
          <w:szCs w:val="36"/>
        </w:rPr>
        <w:t>项目负责人（签章）：</w:t>
      </w:r>
      <w:r>
        <w:rPr>
          <w:rFonts w:hint="eastAsia" w:eastAsia="仿宋_GB2312"/>
          <w:kern w:val="0"/>
          <w:sz w:val="36"/>
          <w:szCs w:val="36"/>
          <w:lang w:eastAsia="zh-CN"/>
        </w:rPr>
        <w:t>铁婷婷</w:t>
      </w:r>
    </w:p>
    <w:p>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lang w:val="en-US" w:eastAsia="zh-CN"/>
        </w:rPr>
        <w:t>2023</w:t>
      </w:r>
      <w:r>
        <w:rPr>
          <w:rFonts w:eastAsia="仿宋_GB2312"/>
          <w:kern w:val="0"/>
          <w:sz w:val="36"/>
          <w:szCs w:val="36"/>
        </w:rPr>
        <w:t>年</w:t>
      </w:r>
      <w:r>
        <w:rPr>
          <w:rFonts w:hint="eastAsia" w:eastAsia="仿宋_GB2312"/>
          <w:kern w:val="0"/>
          <w:sz w:val="36"/>
          <w:szCs w:val="36"/>
          <w:lang w:val="en-US" w:eastAsia="zh-CN"/>
        </w:rPr>
        <w:t>4</w:t>
      </w:r>
      <w:r>
        <w:rPr>
          <w:rFonts w:eastAsia="仿宋_GB2312"/>
          <w:kern w:val="0"/>
          <w:sz w:val="36"/>
          <w:szCs w:val="36"/>
        </w:rPr>
        <w:t>月</w:t>
      </w:r>
      <w:r>
        <w:rPr>
          <w:rFonts w:hint="eastAsia" w:eastAsia="仿宋_GB2312"/>
          <w:kern w:val="0"/>
          <w:sz w:val="36"/>
          <w:szCs w:val="36"/>
          <w:lang w:val="en-US" w:eastAsia="zh-CN"/>
        </w:rPr>
        <w:t>6</w:t>
      </w:r>
      <w:r>
        <w:rPr>
          <w:rFonts w:eastAsia="仿宋_GB2312"/>
          <w:kern w:val="0"/>
          <w:sz w:val="36"/>
          <w:szCs w:val="36"/>
        </w:rPr>
        <w:t>日</w:t>
      </w:r>
    </w:p>
    <w:p>
      <w:pPr>
        <w:spacing w:line="540" w:lineRule="exact"/>
        <w:jc w:val="center"/>
        <w:rPr>
          <w:rFonts w:eastAsia="仿宋_GB2312"/>
          <w:kern w:val="0"/>
          <w:sz w:val="30"/>
          <w:szCs w:val="30"/>
        </w:rPr>
      </w:pPr>
    </w:p>
    <w:p>
      <w:pPr>
        <w:spacing w:line="540" w:lineRule="exact"/>
        <w:rPr>
          <w:rStyle w:val="15"/>
          <w:rFonts w:eastAsia="黑体"/>
          <w:b w:val="0"/>
          <w:spacing w:val="-4"/>
          <w:sz w:val="32"/>
          <w:szCs w:val="32"/>
        </w:rPr>
      </w:pPr>
    </w:p>
    <w:p>
      <w:pPr>
        <w:spacing w:line="540" w:lineRule="exact"/>
        <w:ind w:firstLine="640"/>
        <w:rPr>
          <w:rStyle w:val="15"/>
          <w:rFonts w:eastAsia="黑体"/>
          <w:b w:val="0"/>
          <w:spacing w:val="-4"/>
          <w:sz w:val="32"/>
          <w:szCs w:val="32"/>
        </w:rPr>
      </w:pPr>
    </w:p>
    <w:p>
      <w:pPr>
        <w:spacing w:line="540" w:lineRule="exact"/>
        <w:rPr>
          <w:rStyle w:val="15"/>
          <w:rFonts w:eastAsia="黑体"/>
          <w:b w:val="0"/>
          <w:spacing w:val="-4"/>
          <w:sz w:val="32"/>
          <w:szCs w:val="32"/>
        </w:rPr>
      </w:pPr>
    </w:p>
    <w:p>
      <w:pPr>
        <w:spacing w:line="560" w:lineRule="exact"/>
        <w:ind w:firstLine="640" w:firstLineChars="200"/>
        <w:rPr>
          <w:rFonts w:eastAsia="黑体"/>
          <w:bCs/>
          <w:sz w:val="32"/>
          <w:szCs w:val="32"/>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rPr>
      </w:pPr>
      <w:r>
        <w:rPr>
          <w:rFonts w:eastAsia="黑体"/>
          <w:bCs/>
          <w:sz w:val="32"/>
          <w:szCs w:val="32"/>
        </w:rPr>
        <w:t>一、基本情况</w:t>
      </w:r>
    </w:p>
    <w:p>
      <w:pPr>
        <w:spacing w:line="560" w:lineRule="exact"/>
        <w:ind w:firstLine="643" w:firstLineChars="200"/>
        <w:rPr>
          <w:rFonts w:eastAsia="楷体_GB2312"/>
          <w:b/>
          <w:bCs/>
          <w:sz w:val="32"/>
          <w:szCs w:val="32"/>
        </w:rPr>
      </w:pPr>
      <w:r>
        <w:rPr>
          <w:rFonts w:eastAsia="楷体_GB2312"/>
          <w:b/>
          <w:bCs/>
          <w:sz w:val="32"/>
          <w:szCs w:val="32"/>
        </w:rPr>
        <w:t>（一）项目概况</w:t>
      </w:r>
    </w:p>
    <w:p>
      <w:pPr>
        <w:spacing w:line="560" w:lineRule="exact"/>
        <w:ind w:firstLine="643" w:firstLineChars="200"/>
        <w:rPr>
          <w:rFonts w:eastAsia="仿宋_GB2312"/>
          <w:b/>
          <w:bCs/>
          <w:sz w:val="32"/>
          <w:szCs w:val="32"/>
        </w:rPr>
      </w:pPr>
      <w:r>
        <w:rPr>
          <w:rFonts w:eastAsia="仿宋_GB2312"/>
          <w:b/>
          <w:bCs/>
          <w:sz w:val="32"/>
          <w:szCs w:val="32"/>
        </w:rPr>
        <w:t>1、项目背景</w:t>
      </w:r>
    </w:p>
    <w:p>
      <w:pPr>
        <w:spacing w:line="560" w:lineRule="exact"/>
        <w:ind w:firstLine="640" w:firstLineChars="200"/>
        <w:rPr>
          <w:rFonts w:hint="eastAsia" w:eastAsia="仿宋_GB2312"/>
          <w:sz w:val="32"/>
          <w:szCs w:val="32"/>
          <w:lang w:eastAsia="zh-CN"/>
        </w:rPr>
      </w:pPr>
      <w:r>
        <w:rPr>
          <w:rFonts w:hint="eastAsia" w:eastAsia="仿宋_GB2312"/>
          <w:sz w:val="32"/>
          <w:szCs w:val="32"/>
        </w:rPr>
        <w:t>根据财政厅新财教【2016】238号关于印发《新疆维吾尔自治区区级文艺院团政府购买演出管理办法》的通知精神。政府购买演出补助资金优先用于自治区级文艺院团在职人员绩效工资发放和缴纳基本养老保险、职业年金、并可用于演出活动所产生的节目创作、演出服装购置、演出设备租用和维护等开支。我团为差额事业单位，每年津贴补贴、社保缺口部分主要由政府购买演出经费补足，同时支付演出中的业务开支。</w:t>
      </w:r>
    </w:p>
    <w:p>
      <w:pPr>
        <w:pStyle w:val="2"/>
        <w:numPr>
          <w:ilvl w:val="0"/>
          <w:numId w:val="1"/>
        </w:numPr>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项目主要内容：</w:t>
      </w:r>
    </w:p>
    <w:p>
      <w:pPr>
        <w:spacing w:line="560" w:lineRule="exact"/>
        <w:ind w:firstLine="640" w:firstLineChars="200"/>
        <w:rPr>
          <w:rFonts w:hint="eastAsia" w:eastAsia="黑体"/>
          <w:sz w:val="32"/>
          <w:szCs w:val="32"/>
          <w:highlight w:val="yellow"/>
          <w:lang w:eastAsia="zh-CN"/>
        </w:rPr>
      </w:pPr>
      <w:r>
        <w:rPr>
          <w:rFonts w:hint="eastAsia" w:ascii="仿宋_GB2312" w:hAnsi="仿宋_GB2312" w:eastAsia="仿宋_GB2312" w:cs="仿宋_GB2312"/>
          <w:sz w:val="32"/>
          <w:szCs w:val="32"/>
          <w:highlight w:val="none"/>
          <w:lang w:val="en-US" w:eastAsia="zh-CN"/>
        </w:rPr>
        <w:t>项目主要内容：政府购买演出补助资金优先用于弥补在职人员绩效工资发放和基本工资发放。进一步推进自治区级文艺院团体制机制创新，理顺各院团经费保障渠道，保证各院团演出活动的正常运转，调动演职人员的积极性，提升演出质量，增强其公共文化服务能力。</w:t>
      </w:r>
    </w:p>
    <w:p>
      <w:pPr>
        <w:spacing w:line="560" w:lineRule="exact"/>
        <w:ind w:firstLine="640" w:firstLineChars="200"/>
      </w:pP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3" w:firstLineChars="200"/>
        <w:rPr>
          <w:rFonts w:eastAsia="仿宋_GB2312"/>
          <w:b/>
          <w:bCs/>
          <w:sz w:val="32"/>
          <w:szCs w:val="32"/>
        </w:rPr>
      </w:pPr>
      <w:r>
        <w:rPr>
          <w:rFonts w:eastAsia="仿宋_GB2312"/>
          <w:b/>
          <w:bCs/>
          <w:sz w:val="32"/>
          <w:szCs w:val="32"/>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该项目年初预算数240万元，全年预算数240万元，实际总投入240万元，该项目资金已全部落实到位，资金来源为财政拨款。</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该项目年初预算数240万元，全年预算数240万元,，全年执行数240万元，预算执行率为100%，主要用于：弥补在职人员绩效工资发放和基本工资发放。</w:t>
      </w:r>
    </w:p>
    <w:p>
      <w:pPr>
        <w:spacing w:line="560" w:lineRule="exact"/>
        <w:ind w:firstLine="643" w:firstLineChars="200"/>
        <w:rPr>
          <w:rFonts w:eastAsia="楷体_GB2312"/>
          <w:b/>
          <w:bCs/>
          <w:sz w:val="32"/>
          <w:szCs w:val="32"/>
        </w:rPr>
      </w:pPr>
      <w:r>
        <w:rPr>
          <w:rFonts w:eastAsia="楷体_GB2312"/>
          <w:b/>
          <w:bCs/>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1、总体目标</w:t>
      </w:r>
    </w:p>
    <w:p>
      <w:pPr>
        <w:spacing w:line="560" w:lineRule="exact"/>
        <w:ind w:firstLine="640" w:firstLineChars="200"/>
        <w:rPr>
          <w:rFonts w:hint="eastAsia" w:eastAsia="黑体"/>
          <w:b w:val="0"/>
          <w:bCs/>
          <w:lang w:eastAsia="zh-CN"/>
        </w:rPr>
      </w:pPr>
      <w:r>
        <w:rPr>
          <w:rFonts w:hint="eastAsia" w:ascii="仿宋_GB2312" w:hAnsi="仿宋_GB2312" w:eastAsia="仿宋_GB2312" w:cs="仿宋_GB2312"/>
          <w:sz w:val="32"/>
          <w:szCs w:val="32"/>
          <w:highlight w:val="none"/>
          <w:lang w:val="en-US" w:eastAsia="zh-CN"/>
        </w:rPr>
        <w:t>政府购买演出补助资金优先用于弥补在职人员绩效工资发放和基本工资发放。进一步推进自治区级文艺院团体制机制创新，理顺各院团经费保障渠道，保证各院团演出活动的正常运转，调动演职人员的积极性，提升演出质量，增强其公共文化服务能力。</w:t>
      </w:r>
    </w:p>
    <w:p>
      <w:pPr>
        <w:spacing w:line="560" w:lineRule="exact"/>
        <w:ind w:firstLine="640" w:firstLineChars="200"/>
        <w:rPr>
          <w:rFonts w:hint="eastAsia" w:ascii="仿宋_GB2312" w:hAnsi="仿宋_GB2312" w:eastAsia="仿宋_GB2312" w:cs="仿宋_GB2312"/>
          <w:color w:val="FF0000"/>
          <w:sz w:val="30"/>
          <w:szCs w:val="30"/>
          <w:highlight w:val="none"/>
          <w:lang w:val="en-US" w:eastAsia="zh-CN"/>
        </w:rPr>
      </w:pPr>
      <w:r>
        <w:rPr>
          <w:rFonts w:eastAsia="仿宋_GB2312"/>
          <w:sz w:val="32"/>
          <w:szCs w:val="32"/>
        </w:rPr>
        <w:t>2、阶段性目标</w:t>
      </w:r>
    </w:p>
    <w:p>
      <w:pPr>
        <w:spacing w:line="560" w:lineRule="exac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sz w:val="32"/>
          <w:szCs w:val="32"/>
          <w:highlight w:val="none"/>
          <w:lang w:val="en-US" w:eastAsia="zh-CN"/>
        </w:rPr>
        <w:t>政府购买演出补助资金优先用于弥补在职人员绩效工资发放和基本工资发放，并于每季度时间节点达到资金支付序时进度，完成订立的演出任务。</w:t>
      </w:r>
    </w:p>
    <w:p>
      <w:pPr>
        <w:spacing w:line="560" w:lineRule="exact"/>
        <w:ind w:firstLine="640" w:firstLineChars="200"/>
        <w:rPr>
          <w:rFonts w:eastAsia="黑体"/>
          <w:sz w:val="32"/>
          <w:szCs w:val="32"/>
        </w:rPr>
      </w:pPr>
      <w:r>
        <w:rPr>
          <w:rFonts w:eastAsia="黑体"/>
          <w:sz w:val="32"/>
          <w:szCs w:val="32"/>
        </w:rPr>
        <w:t>二、绩效评价工作开展情况</w:t>
      </w:r>
    </w:p>
    <w:p>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1、绩效评价的目的</w:t>
      </w:r>
    </w:p>
    <w:p>
      <w:pPr>
        <w:spacing w:line="560" w:lineRule="exact"/>
        <w:ind w:firstLine="640" w:firstLineChars="200"/>
        <w:rPr>
          <w:rFonts w:eastAsia="仿宋_GB2312"/>
          <w:sz w:val="32"/>
          <w:szCs w:val="32"/>
        </w:rPr>
      </w:pPr>
      <w:r>
        <w:rPr>
          <w:rFonts w:eastAsia="仿宋_GB2312"/>
          <w:sz w:val="32"/>
          <w:szCs w:val="32"/>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ilvl w:val="0"/>
          <w:numId w:val="2"/>
        </w:numPr>
        <w:spacing w:line="560" w:lineRule="exact"/>
        <w:ind w:firstLine="640" w:firstLineChars="200"/>
        <w:rPr>
          <w:rFonts w:eastAsia="仿宋_GB2312"/>
          <w:sz w:val="32"/>
          <w:szCs w:val="32"/>
        </w:rPr>
      </w:pPr>
      <w:r>
        <w:rPr>
          <w:rFonts w:eastAsia="仿宋_GB2312"/>
          <w:sz w:val="32"/>
          <w:szCs w:val="32"/>
        </w:rPr>
        <w:t>项目在实施前向项目负责人提供财政支出绩效方面的资金管理信息，促进项目支出严格按照资金管理规定进行。</w:t>
      </w:r>
    </w:p>
    <w:p>
      <w:pPr>
        <w:spacing w:line="560" w:lineRule="exact"/>
        <w:ind w:firstLine="640" w:firstLineChars="200"/>
        <w:rPr>
          <w:rFonts w:eastAsia="仿宋_GB2312"/>
          <w:sz w:val="32"/>
          <w:szCs w:val="32"/>
        </w:rPr>
      </w:pPr>
      <w:r>
        <w:rPr>
          <w:rFonts w:eastAsia="仿宋_GB2312"/>
          <w:sz w:val="32"/>
          <w:szCs w:val="32"/>
        </w:rPr>
        <w:t>（2）项目绩效管理财政支出运行提供及时、有效的信息。</w:t>
      </w:r>
    </w:p>
    <w:p>
      <w:pPr>
        <w:pStyle w:val="18"/>
        <w:spacing w:line="560" w:lineRule="exact"/>
        <w:ind w:firstLine="640" w:firstLineChars="200"/>
        <w:rPr>
          <w:rFonts w:eastAsia="方正仿宋_GBK" w:cs="方正仿宋_GBK"/>
          <w:sz w:val="32"/>
          <w:szCs w:val="32"/>
        </w:rPr>
      </w:pPr>
      <w:r>
        <w:rPr>
          <w:rFonts w:eastAsia="仿宋_GB2312"/>
          <w:sz w:val="32"/>
          <w:szCs w:val="32"/>
        </w:rPr>
        <w:t>综合来看，通过开展有效的财政支出绩效评价管理，</w:t>
      </w:r>
      <w:r>
        <w:rPr>
          <w:rFonts w:hint="eastAsia" w:eastAsia="仿宋_GB2312"/>
          <w:sz w:val="32"/>
          <w:szCs w:val="32"/>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2、绩效评价的对象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自治区本级政府购买演出</w:t>
      </w:r>
      <w:r>
        <w:rPr>
          <w:rFonts w:hint="eastAsia" w:ascii="仿宋_GB2312" w:hAnsi="仿宋_GB2312" w:eastAsia="仿宋_GB2312" w:cs="仿宋_GB2312"/>
          <w:sz w:val="32"/>
          <w:szCs w:val="32"/>
        </w:rPr>
        <w:t>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本次评价从项目决策（包括绩效目标、决策过程）、项目管理（包括项目资金、项目实施）、项目产出（包括项目产出数量、产出质量、产出时效和产出成本）项目效益四个维度对自治区本级政府购买演出</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进行评价，评价核心为专项资金的支出完成情况和效果。</w:t>
      </w:r>
    </w:p>
    <w:p>
      <w:pPr>
        <w:spacing w:line="560" w:lineRule="exact"/>
        <w:ind w:firstLine="643" w:firstLineChars="200"/>
      </w:pPr>
      <w:r>
        <w:rPr>
          <w:rFonts w:eastAsia="楷体_GB2312"/>
          <w:b/>
          <w:bCs/>
          <w:sz w:val="32"/>
          <w:szCs w:val="32"/>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1、绩效评价原则</w:t>
      </w:r>
    </w:p>
    <w:p>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2、评价指标体系</w:t>
      </w:r>
    </w:p>
    <w:p>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（1）比较法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（2）因素分析法</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pPr>
        <w:spacing w:line="560" w:lineRule="exact"/>
        <w:ind w:firstLine="64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rPr>
        <w:t>绩效评价标准通常包括计划标准、行业标准、历史标准等，用于对绩效指标完成情况进行比较、分析、评价。</w:t>
      </w:r>
      <w:r>
        <w:rPr>
          <w:rFonts w:hint="eastAsia" w:ascii="仿宋_GB2312" w:hAnsi="仿宋_GB2312" w:eastAsia="仿宋_GB2312" w:cs="仿宋_GB2312"/>
          <w:sz w:val="32"/>
          <w:szCs w:val="32"/>
          <w:highlight w:val="none"/>
        </w:rPr>
        <w:t>本次</w:t>
      </w:r>
      <w:r>
        <w:rPr>
          <w:rFonts w:hint="eastAsia" w:ascii="仿宋_GB2312" w:hAnsi="仿宋_GB2312" w:eastAsia="仿宋_GB2312" w:cs="仿宋_GB2312"/>
          <w:color w:val="auto"/>
          <w:sz w:val="32"/>
          <w:szCs w:val="32"/>
          <w:highlight w:val="none"/>
        </w:rPr>
        <w:t>评价主要采用了</w:t>
      </w:r>
      <w:r>
        <w:rPr>
          <w:rFonts w:hint="eastAsia" w:ascii="仿宋_GB2312" w:hAnsi="仿宋_GB2312" w:eastAsia="仿宋_GB2312" w:cs="仿宋_GB2312"/>
          <w:color w:val="auto"/>
          <w:sz w:val="32"/>
          <w:szCs w:val="32"/>
          <w:highlight w:val="none"/>
          <w:lang w:val="en-US" w:eastAsia="zh-CN"/>
        </w:rPr>
        <w:t>计划</w:t>
      </w:r>
      <w:r>
        <w:rPr>
          <w:rFonts w:hint="eastAsia" w:ascii="仿宋_GB2312" w:hAnsi="仿宋_GB2312" w:eastAsia="仿宋_GB2312" w:cs="仿宋_GB2312"/>
          <w:color w:val="auto"/>
          <w:sz w:val="32"/>
          <w:szCs w:val="32"/>
          <w:highlight w:val="none"/>
        </w:rPr>
        <w:t>标准。</w:t>
      </w:r>
    </w:p>
    <w:p>
      <w:pPr>
        <w:spacing w:line="560" w:lineRule="exact"/>
        <w:ind w:firstLine="640"/>
        <w:rPr>
          <w:rFonts w:hint="eastAsia" w:ascii="仿宋_GB2312" w:hAnsi="仿宋_GB2312" w:eastAsia="仿宋_GB2312" w:cs="仿宋_GB2312"/>
          <w:sz w:val="32"/>
          <w:szCs w:val="32"/>
        </w:rPr>
      </w:pPr>
      <w:bookmarkStart w:id="0" w:name="_Toc17882"/>
      <w:bookmarkStart w:id="1" w:name="_Toc31464"/>
      <w:r>
        <w:rPr>
          <w:rFonts w:hint="eastAsia" w:ascii="仿宋_GB2312" w:hAnsi="仿宋_GB2312" w:eastAsia="仿宋_GB2312" w:cs="仿宋_GB2312"/>
          <w:b/>
          <w:bCs/>
          <w:sz w:val="32"/>
          <w:szCs w:val="32"/>
        </w:rPr>
        <w:t>计划标准：</w:t>
      </w:r>
      <w:r>
        <w:rPr>
          <w:rFonts w:hint="eastAsia" w:ascii="仿宋_GB2312" w:hAnsi="仿宋_GB2312" w:eastAsia="仿宋_GB2312" w:cs="仿宋_GB2312"/>
          <w:sz w:val="32"/>
          <w:szCs w:val="32"/>
        </w:rPr>
        <w:t>指以预先制定的目标、计划、预算、定额等作为评价标准。</w:t>
      </w:r>
      <w:bookmarkEnd w:id="0"/>
      <w:bookmarkEnd w:id="1"/>
    </w:p>
    <w:p>
      <w:pPr>
        <w:spacing w:line="560" w:lineRule="exact"/>
        <w:ind w:firstLine="640"/>
        <w:rPr>
          <w:rFonts w:hint="eastAsia" w:ascii="仿宋_GB2312" w:hAnsi="仿宋_GB2312" w:eastAsia="仿宋_GB2312" w:cs="仿宋_GB2312"/>
          <w:sz w:val="32"/>
          <w:szCs w:val="32"/>
        </w:rPr>
      </w:pPr>
      <w:bookmarkStart w:id="2" w:name="_Toc2318"/>
      <w:bookmarkStart w:id="3" w:name="_Toc5633"/>
      <w:r>
        <w:rPr>
          <w:rFonts w:hint="eastAsia" w:ascii="仿宋_GB2312" w:hAnsi="仿宋_GB2312" w:eastAsia="仿宋_GB2312" w:cs="仿宋_GB2312"/>
          <w:b/>
          <w:bCs/>
          <w:sz w:val="32"/>
          <w:szCs w:val="32"/>
        </w:rPr>
        <w:t>行业标准：</w:t>
      </w:r>
      <w:r>
        <w:rPr>
          <w:rFonts w:hint="eastAsia" w:ascii="仿宋_GB2312" w:hAnsi="仿宋_GB2312" w:eastAsia="仿宋_GB2312" w:cs="仿宋_GB2312"/>
          <w:sz w:val="32"/>
          <w:szCs w:val="32"/>
        </w:rPr>
        <w:t>指参照国家公布的行业指标数据制定的评价标准。</w:t>
      </w:r>
      <w:bookmarkEnd w:id="2"/>
      <w:bookmarkEnd w:id="3"/>
    </w:p>
    <w:p>
      <w:pPr>
        <w:spacing w:line="560" w:lineRule="exact"/>
        <w:ind w:firstLine="640"/>
        <w:rPr>
          <w:rFonts w:hint="eastAsia" w:ascii="仿宋_GB2312" w:hAnsi="仿宋_GB2312" w:eastAsia="仿宋_GB2312" w:cs="仿宋_GB2312"/>
          <w:sz w:val="32"/>
          <w:szCs w:val="32"/>
        </w:rPr>
      </w:pPr>
      <w:bookmarkStart w:id="4" w:name="_Toc430"/>
      <w:bookmarkStart w:id="5" w:name="_Toc16028"/>
      <w:r>
        <w:rPr>
          <w:rFonts w:hint="eastAsia" w:ascii="仿宋_GB2312" w:hAnsi="仿宋_GB2312" w:eastAsia="仿宋_GB2312" w:cs="仿宋_GB2312"/>
          <w:b/>
          <w:bCs/>
          <w:sz w:val="32"/>
          <w:szCs w:val="32"/>
        </w:rPr>
        <w:t>历史标准：</w:t>
      </w:r>
      <w:r>
        <w:rPr>
          <w:rFonts w:hint="eastAsia" w:ascii="仿宋_GB2312" w:hAnsi="仿宋_GB2312" w:eastAsia="仿宋_GB2312" w:cs="仿宋_GB2312"/>
          <w:sz w:val="32"/>
          <w:szCs w:val="32"/>
        </w:rPr>
        <w:t>指参照历史数据制定的评价标准，为体现绩效改进的原则，在可实现的条件下应当确定相对较高的评价标准。</w:t>
      </w:r>
      <w:bookmarkEnd w:id="4"/>
      <w:bookmarkEnd w:id="5"/>
    </w:p>
    <w:p>
      <w:pPr>
        <w:pStyle w:val="2"/>
        <w:numPr>
          <w:ilvl w:val="0"/>
          <w:numId w:val="3"/>
        </w:numPr>
        <w:spacing w:before="0" w:after="0" w:line="560" w:lineRule="exact"/>
        <w:ind w:firstLine="711" w:firstLineChars="200"/>
        <w:jc w:val="both"/>
        <w:rPr>
          <w:rFonts w:ascii="楷体" w:hAnsi="楷体" w:eastAsia="楷体" w:cs="楷体"/>
          <w:color w:val="000000"/>
          <w:spacing w:val="17"/>
        </w:rPr>
      </w:pPr>
      <w:r>
        <w:rPr>
          <w:rFonts w:hint="eastAsia" w:ascii="楷体" w:hAnsi="楷体" w:eastAsia="楷体" w:cs="楷体"/>
          <w:color w:val="000000"/>
          <w:spacing w:val="17"/>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1.</w:t>
      </w:r>
      <w:r>
        <w:rPr>
          <w:rFonts w:hint="eastAsia" w:eastAsia="仿宋_GB2312"/>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rPr>
      </w:pPr>
      <w:r>
        <w:rPr>
          <w:rFonts w:hint="eastAsia" w:eastAsia="仿宋_GB2312"/>
          <w:bCs/>
          <w:sz w:val="32"/>
          <w:szCs w:val="32"/>
          <w:lang w:val="en-US" w:eastAsia="zh-CN"/>
        </w:rPr>
        <w:t>2.</w:t>
      </w:r>
      <w:r>
        <w:rPr>
          <w:rFonts w:hint="eastAsia" w:eastAsia="仿宋_GB2312"/>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rPr>
      </w:pPr>
      <w:r>
        <w:rPr>
          <w:rFonts w:hint="eastAsia" w:eastAsia="仿宋_GB2312"/>
          <w:bCs/>
          <w:sz w:val="32"/>
          <w:szCs w:val="32"/>
          <w:lang w:val="en-US" w:eastAsia="zh-CN"/>
        </w:rPr>
        <w:t>3.</w:t>
      </w:r>
      <w:r>
        <w:rPr>
          <w:rFonts w:hint="eastAsia" w:eastAsia="仿宋_GB2312"/>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4"/>
        </w:numPr>
        <w:spacing w:line="560" w:lineRule="exact"/>
        <w:ind w:firstLine="640" w:firstLineChars="200"/>
        <w:rPr>
          <w:rFonts w:eastAsia="黑体"/>
          <w:sz w:val="32"/>
          <w:szCs w:val="32"/>
        </w:rPr>
      </w:pPr>
      <w:r>
        <w:rPr>
          <w:rFonts w:eastAsia="黑体"/>
          <w:sz w:val="32"/>
          <w:szCs w:val="32"/>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lang w:val="en-US" w:eastAsia="zh-CN"/>
        </w:rPr>
      </w:pPr>
      <w:r>
        <w:rPr>
          <w:rFonts w:hint="eastAsia" w:ascii="Times New Roman" w:hAnsi="Times New Roman" w:eastAsia="楷体_GB2312"/>
          <w:lang w:eastAsia="zh-CN"/>
        </w:rPr>
        <w:t>（</w:t>
      </w:r>
      <w:r>
        <w:rPr>
          <w:rFonts w:hint="eastAsia" w:ascii="Times New Roman" w:hAnsi="Times New Roman" w:eastAsia="楷体_GB2312"/>
          <w:lang w:val="en-US" w:eastAsia="zh-CN"/>
        </w:rPr>
        <w:t>一</w:t>
      </w:r>
      <w:r>
        <w:rPr>
          <w:rFonts w:hint="eastAsia" w:ascii="Times New Roman" w:hAnsi="Times New Roman" w:eastAsia="楷体_GB2312"/>
          <w:lang w:eastAsia="zh-CN"/>
        </w:rPr>
        <w:t>）</w:t>
      </w:r>
      <w:r>
        <w:rPr>
          <w:rFonts w:hint="eastAsia" w:ascii="Times New Roman" w:hAnsi="Times New Roman" w:eastAsia="楷体_GB2312"/>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lang w:val="en-US" w:eastAsia="zh-CN" w:bidi="ar-SA"/>
        </w:rPr>
      </w:pPr>
      <w:r>
        <w:rPr>
          <w:rFonts w:hint="eastAsia" w:ascii="Times New Roman" w:hAnsi="Times New Roman" w:eastAsia="仿宋_GB2312" w:cs="Times New Roman"/>
          <w:b w:val="0"/>
          <w:bCs w:val="0"/>
          <w:kern w:val="28"/>
          <w:sz w:val="32"/>
          <w:szCs w:val="32"/>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cs="Times New Roman"/>
          <w:lang w:val="en-US" w:eastAsia="zh-CN"/>
        </w:rPr>
      </w:pP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二</w:t>
      </w:r>
      <w:r>
        <w:rPr>
          <w:rFonts w:hint="eastAsia" w:ascii="Times New Roman" w:hAnsi="Times New Roman" w:eastAsia="楷体_GB2312" w:cs="Times New Roman"/>
          <w:lang w:eastAsia="zh-CN"/>
        </w:rPr>
        <w:t>）</w:t>
      </w:r>
      <w:r>
        <w:rPr>
          <w:rFonts w:hint="eastAsia" w:ascii="Times New Roman" w:hAnsi="Times New Roman" w:eastAsia="楷体_GB2312" w:cs="Times New Roman"/>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lang w:eastAsia="zh-CN"/>
        </w:rPr>
      </w:pPr>
      <w:r>
        <w:rPr>
          <w:rFonts w:hint="eastAsia"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eastAsia" w:ascii="Times New Roman" w:hAnsi="Times New Roman" w:eastAsia="仿宋_GB2312"/>
          <w:b w:val="0"/>
          <w:bCs w:val="0"/>
          <w:highlight w:val="none"/>
        </w:rPr>
        <w:t xml:space="preserve">总得分为 </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 xml:space="preserve">分，属于“优”。其中，项目决策类指标权重为20分，得分为 </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 xml:space="preserve">分，得分率为 </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 xml:space="preserve">分，得分率为 </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40</w:t>
      </w:r>
      <w:r>
        <w:rPr>
          <w:rFonts w:hint="eastAsia" w:ascii="Times New Roman" w:hAnsi="Times New Roman" w:eastAsia="仿宋_GB2312"/>
          <w:b w:val="0"/>
          <w:bCs w:val="0"/>
          <w:highlight w:val="none"/>
        </w:rPr>
        <w:t xml:space="preserve">分，得分率为 </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w:t>
      </w:r>
      <w:r>
        <w:rPr>
          <w:rFonts w:hint="eastAsia" w:ascii="Times New Roman" w:hAnsi="Times New Roman" w:eastAsia="仿宋_GB2312"/>
          <w:b w:val="0"/>
          <w:bCs w:val="0"/>
        </w:rPr>
        <w:t>具体打分情况详见：附件1综合评分表</w:t>
      </w:r>
      <w:r>
        <w:rPr>
          <w:rFonts w:hint="eastAsia" w:ascii="Times New Roman" w:hAnsi="Times New Roman" w:eastAsia="仿宋_GB2312"/>
          <w:b w:val="0"/>
          <w:bCs w:val="0"/>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rPr>
      </w:pPr>
      <w:r>
        <w:rPr>
          <w:rFonts w:ascii="Times New Roman" w:hAnsi="Times New Roman" w:eastAsia="仿宋_GB2312"/>
          <w:sz w:val="30"/>
          <w:szCs w:val="30"/>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rPr>
            </w:pPr>
            <w:r>
              <w:rPr>
                <w:rFonts w:hint="eastAsia" w:cs="宋体"/>
                <w:b/>
                <w:bCs/>
                <w:color w:val="000000"/>
                <w:sz w:val="22"/>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lang w:val="en-US" w:eastAsia="zh-CN"/>
              </w:rPr>
            </w:pPr>
            <w:r>
              <w:rPr>
                <w:rFonts w:hint="eastAsia"/>
                <w:b/>
                <w:bCs/>
                <w:color w:val="000000"/>
                <w:sz w:val="22"/>
                <w:lang w:val="en-US" w:eastAsia="zh-CN"/>
              </w:rPr>
              <w:t>100</w:t>
            </w:r>
          </w:p>
        </w:tc>
      </w:tr>
    </w:tbl>
    <w:p>
      <w:pPr>
        <w:spacing w:line="560" w:lineRule="exact"/>
        <w:ind w:firstLine="640" w:firstLineChars="200"/>
        <w:rPr>
          <w:rFonts w:eastAsia="黑体"/>
          <w:sz w:val="32"/>
          <w:szCs w:val="32"/>
        </w:rPr>
      </w:pPr>
      <w:r>
        <w:rPr>
          <w:rFonts w:eastAsia="黑体"/>
          <w:sz w:val="32"/>
          <w:szCs w:val="32"/>
        </w:rPr>
        <w:t>四、绩效评价指标分析</w:t>
      </w:r>
    </w:p>
    <w:p>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厅新财教【2016】238号关于印发《新疆维吾尔自治区区级文艺院团政府购买演出管理办法》的通知精神。政府购买演出补助资金优先用于自治区级文艺院团在职人员绩效工资发放和缴纳基本养老保险、职业年金、并可用于演出活动所产生的节目创作、演出服装购置、演出设备租用和维护等开支。</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项目申请、设立过程</w:t>
      </w:r>
      <w:r>
        <w:rPr>
          <w:rFonts w:hint="eastAsia" w:ascii="仿宋_GB2312" w:hAnsi="仿宋_GB2312" w:eastAsia="仿宋_GB2312" w:cs="仿宋_GB2312"/>
          <w:sz w:val="32"/>
          <w:szCs w:val="32"/>
          <w:lang w:val="en-US" w:eastAsia="zh-CN"/>
        </w:rPr>
        <w:t>根据决算依据编制工作计划和经费预算，经过与业务处室分管领导沟通、筛选确定本年度演出计划，且因我团为差额单位，按照政策依据计划将经费用于弥补在职人员基本工资及绩效工资，最后经主要领导及分管领导确认后，完成该项目立项。</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年初结合实际工作内容</w:t>
      </w:r>
      <w:r>
        <w:rPr>
          <w:rFonts w:hint="eastAsia" w:ascii="仿宋_GB2312" w:hAnsi="仿宋_GB2312" w:eastAsia="仿宋_GB2312" w:cs="仿宋_GB2312"/>
          <w:sz w:val="32"/>
          <w:szCs w:val="32"/>
          <w:lang w:val="en-US" w:eastAsia="zh-CN"/>
        </w:rPr>
        <w:t>设定绩效目标</w:t>
      </w:r>
      <w:r>
        <w:rPr>
          <w:rFonts w:hint="eastAsia" w:ascii="仿宋_GB2312" w:hAnsi="仿宋_GB2312" w:eastAsia="仿宋_GB2312" w:cs="仿宋_GB2312"/>
          <w:sz w:val="32"/>
          <w:szCs w:val="32"/>
          <w:lang w:val="en-US" w:eastAsia="zh-Hans"/>
        </w:rPr>
        <w:t>，绩效目标</w:t>
      </w:r>
      <w:r>
        <w:rPr>
          <w:rFonts w:hint="eastAsia" w:ascii="仿宋_GB2312" w:hAnsi="仿宋_GB2312" w:eastAsia="仿宋_GB2312" w:cs="仿宋_GB2312"/>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资金分配额度与项目单位实际工作内容相适应，资金分配额度合理，资金分配依据充分。</w:t>
      </w:r>
    </w:p>
    <w:p>
      <w:pPr>
        <w:pStyle w:val="2"/>
        <w:numPr>
          <w:ilvl w:val="0"/>
          <w:numId w:val="5"/>
        </w:numPr>
        <w:spacing w:before="0" w:after="0" w:line="560" w:lineRule="exact"/>
        <w:ind w:firstLine="643" w:firstLineChars="200"/>
        <w:jc w:val="both"/>
        <w:rPr>
          <w:rFonts w:ascii="楷体" w:hAnsi="楷体" w:eastAsia="楷体" w:cs="楷体"/>
        </w:rPr>
      </w:pPr>
      <w:r>
        <w:rPr>
          <w:rFonts w:hint="eastAsia" w:ascii="楷体" w:hAnsi="楷体" w:eastAsia="楷体" w:cs="楷体"/>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项目过程类指标包括资金管理和组织实施两方面的内容，由</w:t>
      </w:r>
      <w:r>
        <w:rPr>
          <w:rFonts w:hint="eastAsia" w:ascii="仿宋_GB2312" w:hAnsi="仿宋_GB2312" w:eastAsia="仿宋_GB2312" w:cs="仿宋_GB2312"/>
          <w:sz w:val="32"/>
          <w:szCs w:val="32"/>
          <w:highlight w:val="none"/>
          <w:lang w:val="en-US" w:eastAsia="zh-CN"/>
        </w:rPr>
        <w:t>5个</w:t>
      </w:r>
      <w:r>
        <w:rPr>
          <w:rFonts w:hint="eastAsia" w:ascii="仿宋_GB2312" w:hAnsi="仿宋_GB2312" w:eastAsia="仿宋_GB2312" w:cs="仿宋_GB2312"/>
          <w:sz w:val="32"/>
          <w:szCs w:val="32"/>
          <w:lang w:val="en-US" w:eastAsia="zh-CN"/>
        </w:rPr>
        <w:t>三级指标构成，权重分值为20分，</w:t>
      </w:r>
      <w:r>
        <w:rPr>
          <w:rFonts w:hint="eastAsia" w:ascii="仿宋_GB2312" w:hAnsi="仿宋_GB2312" w:eastAsia="仿宋_GB2312" w:cs="仿宋_GB2312"/>
          <w:sz w:val="32"/>
          <w:szCs w:val="32"/>
          <w:highlight w:val="none"/>
          <w:lang w:val="en-US" w:eastAsia="zh-CN"/>
        </w:rPr>
        <w:t>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highlight w:val="none"/>
          <w:lang w:val="en-US" w:eastAsia="zh-CN"/>
        </w:rPr>
        <w:t>总投资240万元，财政资金及时足额到位，到位率100%，预算资金按计划进度执行。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预算编制较为详细，项目资金支出总体能够按照预算执行，预算资金支出240万元，预算执行率为100%</w:t>
      </w:r>
      <w:r>
        <w:rPr>
          <w:rFonts w:hint="eastAsia" w:ascii="仿宋_GB2312" w:hAnsi="仿宋_GB2312" w:eastAsia="仿宋_GB2312" w:cs="仿宋_GB2312"/>
          <w:sz w:val="32"/>
          <w:szCs w:val="32"/>
          <w:lang w:val="en-US" w:eastAsia="zh-CN"/>
        </w:rPr>
        <w:t>。</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（1）项目组织情况分析</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2022年年初，新疆艺术剧院话剧团按照团党委的工作计划安排，积极组织本单位演职人员，按照要求积极组织演出实施工作。全年演出话剧《林基路》、《金色的胡杨》、《老虎和熊的故事》，获得了社会各界的好评。</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（2）项目管理情况分析</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团严格按照《新疆维吾尔自治区区级文艺院团政府购买演出管理办法》不定期对项目进度情况进行督导检查，并定期上报《自治区本级部门单位项目支出绩效监控情况表》，对检查过程中发现的问题及时督促整改，确保了项目按时保质完成。</w:t>
      </w:r>
    </w:p>
    <w:p>
      <w:pPr>
        <w:pStyle w:val="11"/>
        <w:numPr>
          <w:ilvl w:val="0"/>
          <w:numId w:val="5"/>
        </w:numPr>
        <w:spacing w:line="560" w:lineRule="exact"/>
        <w:ind w:firstLine="643"/>
        <w:rPr>
          <w:rFonts w:eastAsia="楷体_GB2312"/>
          <w:b/>
          <w:bCs/>
          <w:sz w:val="32"/>
          <w:szCs w:val="32"/>
        </w:rPr>
      </w:pPr>
      <w:r>
        <w:rPr>
          <w:rFonts w:eastAsia="楷体_GB2312"/>
          <w:b/>
          <w:bCs/>
          <w:sz w:val="32"/>
          <w:szCs w:val="32"/>
        </w:rPr>
        <w:t>项目产出</w:t>
      </w:r>
      <w:r>
        <w:rPr>
          <w:rFonts w:hint="eastAsia" w:eastAsia="楷体_GB2312"/>
          <w:b/>
          <w:bCs/>
          <w:sz w:val="32"/>
          <w:szCs w:val="32"/>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项目产出类指标包括产出数量、产出质量、产出时效、产出成本四方面的内容，由</w:t>
      </w:r>
      <w:r>
        <w:rPr>
          <w:rFonts w:hint="eastAsia" w:ascii="仿宋_GB2312" w:hAnsi="仿宋_GB2312" w:eastAsia="仿宋_GB2312" w:cs="仿宋_GB2312"/>
          <w:sz w:val="32"/>
          <w:szCs w:val="32"/>
          <w:highlight w:val="none"/>
          <w:lang w:val="en-US" w:eastAsia="zh-CN"/>
        </w:rPr>
        <w:t>8个三级指标构成，权重分为40分，实际得分40分，得分率为100%。</w:t>
      </w:r>
      <w:r>
        <w:rPr>
          <w:rFonts w:hint="eastAsia" w:ascii="仿宋_GB2312" w:hAnsi="仿宋_GB2312" w:eastAsia="仿宋_GB2312" w:cs="仿宋_GB2312"/>
          <w:sz w:val="32"/>
          <w:szCs w:val="32"/>
          <w:lang w:val="en-US" w:eastAsia="zh-CN"/>
        </w:rPr>
        <w:t>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指标1：演出活动（场），指标值：≥8场，实际完成值：8场，指标完成率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指标2：弥补人员数量（人），指标值：≥60人，实际完成值：</w:t>
      </w:r>
      <w:r>
        <w:rPr>
          <w:rFonts w:hint="eastAsia" w:ascii="仿宋_GB2312" w:hAnsi="仿宋_GB2312" w:eastAsia="仿宋_GB2312" w:cs="仿宋_GB2312"/>
          <w:sz w:val="32"/>
          <w:szCs w:val="32"/>
          <w:highlight w:val="none"/>
          <w:lang w:val="en-US" w:eastAsia="zh-CN"/>
        </w:rPr>
        <w:t>60人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：发放次数，指标值：＝12次，实际完成值：</w:t>
      </w:r>
      <w:r>
        <w:rPr>
          <w:rFonts w:hint="eastAsia" w:ascii="仿宋_GB2312" w:hAnsi="仿宋_GB2312" w:eastAsia="仿宋_GB2312" w:cs="仿宋_GB2312"/>
          <w:sz w:val="32"/>
          <w:szCs w:val="32"/>
          <w:highlight w:val="none"/>
          <w:lang w:val="en-US" w:eastAsia="zh-CN"/>
        </w:rPr>
        <w:t>12次</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指标1：艺术下基层任务完成率，指标值：≥95%，实际完成值：100%，指标完成率</w:t>
      </w:r>
      <w:r>
        <w:rPr>
          <w:rFonts w:hint="eastAsia" w:ascii="仿宋_GB2312" w:hAnsi="仿宋_GB2312" w:eastAsia="仿宋_GB2312" w:cs="仿宋_GB2312"/>
          <w:sz w:val="32"/>
          <w:szCs w:val="32"/>
          <w:highlight w:val="none"/>
          <w:lang w:val="en-US" w:eastAsia="zh-CN"/>
        </w:rPr>
        <w:t>105.26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有偏差原因是：本年度计划的艺术下基层任务全部按时保质完成</w:t>
      </w:r>
      <w:bookmarkStart w:id="9" w:name="_GoBack"/>
      <w:bookmarkEnd w:id="9"/>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指标1：演出活动按时完成率，指标值：≥95%，实际完成值：100%，指标完成率</w:t>
      </w:r>
      <w:r>
        <w:rPr>
          <w:rFonts w:hint="eastAsia" w:ascii="仿宋_GB2312" w:hAnsi="仿宋_GB2312" w:eastAsia="仿宋_GB2312" w:cs="仿宋_GB2312"/>
          <w:sz w:val="32"/>
          <w:szCs w:val="32"/>
          <w:highlight w:val="none"/>
          <w:lang w:val="en-US" w:eastAsia="zh-CN"/>
        </w:rPr>
        <w:t>105.26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有偏差原因是：本年度所有活动都按时完成</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：人员经费发放及时率，指标值：≥95%，实际完成值：100%，指标完成率</w:t>
      </w:r>
      <w:r>
        <w:rPr>
          <w:rFonts w:hint="eastAsia" w:ascii="仿宋_GB2312" w:hAnsi="仿宋_GB2312" w:eastAsia="仿宋_GB2312" w:cs="仿宋_GB2312"/>
          <w:sz w:val="32"/>
          <w:szCs w:val="32"/>
          <w:highlight w:val="none"/>
          <w:lang w:val="en-US" w:eastAsia="zh-CN"/>
        </w:rPr>
        <w:t>105.26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有偏差原因是：本年度人员经费全部按时发放到位</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指标1：弥补基本工资，指标值：2500元.人/次，实际完成值：2500元.人/次，指标完成率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：弥补绩效工资，指标值：833.33元.人/次，实际完成值：833.33元.人/次，指标完成率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11"/>
        <w:numPr>
          <w:ilvl w:val="0"/>
          <w:numId w:val="5"/>
        </w:numPr>
        <w:spacing w:line="560" w:lineRule="exact"/>
        <w:ind w:firstLine="643"/>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项目效益类指标包括项目实施效益和满意度两方面的内容，由</w:t>
      </w:r>
      <w:r>
        <w:rPr>
          <w:rFonts w:hint="eastAsia" w:ascii="仿宋_GB2312" w:hAnsi="仿宋_GB2312" w:eastAsia="仿宋_GB2312" w:cs="仿宋_GB2312"/>
          <w:sz w:val="32"/>
          <w:szCs w:val="32"/>
          <w:highlight w:val="none"/>
          <w:lang w:val="en-US" w:eastAsia="zh-CN"/>
        </w:rPr>
        <w:t>2个三级指标构成，权重分为20分，实际得分20分，得分率为100%。具体效</w:t>
      </w:r>
      <w:r>
        <w:rPr>
          <w:rFonts w:hint="eastAsia" w:ascii="仿宋_GB2312" w:hAnsi="仿宋_GB2312" w:eastAsia="仿宋_GB2312" w:cs="仿宋_GB2312"/>
          <w:sz w:val="32"/>
          <w:szCs w:val="32"/>
          <w:lang w:val="en-US" w:eastAsia="zh-CN"/>
        </w:rPr>
        <w:t>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指标1：提高各族群众精神文化生活水平，指标值：显著提升，实际完成值：显著提升，指标完成率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满意度指标：观看演出群众满意度，</w:t>
      </w:r>
      <w:r>
        <w:rPr>
          <w:rFonts w:hint="eastAsia" w:ascii="仿宋_GB2312" w:hAnsi="仿宋_GB2312" w:eastAsia="仿宋_GB2312" w:cs="仿宋_GB2312"/>
          <w:sz w:val="32"/>
          <w:szCs w:val="32"/>
          <w:highlight w:val="none"/>
        </w:rPr>
        <w:t>指标值：≥95%，实际完成值：95%，指标完成率</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五、预算执行进度与绩效指标总体完成率偏差</w:t>
      </w:r>
    </w:p>
    <w:p>
      <w:pPr>
        <w:pStyle w:val="18"/>
        <w:spacing w:line="560" w:lineRule="exact"/>
        <w:ind w:firstLine="640"/>
        <w:rPr>
          <w:rFonts w:eastAsia="方正仿宋_GBK" w:cs="方正仿宋_GBK"/>
          <w:sz w:val="32"/>
          <w:szCs w:val="32"/>
          <w:highlight w:val="none"/>
        </w:rPr>
      </w:pPr>
      <w:r>
        <w:rPr>
          <w:rFonts w:hint="eastAsia" w:ascii="仿宋_GB2312" w:hAnsi="仿宋_GB2312" w:eastAsia="仿宋_GB2312" w:cs="仿宋_GB2312"/>
          <w:kern w:val="2"/>
          <w:sz w:val="32"/>
          <w:szCs w:val="32"/>
          <w:highlight w:val="none"/>
          <w:lang w:val="en-US" w:eastAsia="zh-CN" w:bidi="ar-SA"/>
        </w:rPr>
        <w:t>自治区本级政府购买演出项目年初预算240万元，全年预算240万元，实际支出240万元，预算执行率为100%，项目绩效指标总体完成率为101.08%，</w:t>
      </w:r>
      <w:r>
        <w:rPr>
          <w:rFonts w:hint="eastAsia" w:ascii="仿宋_GB2312" w:hAnsi="仿宋_GB2312" w:eastAsia="仿宋_GB2312" w:cs="仿宋_GB2312"/>
          <w:kern w:val="2"/>
          <w:sz w:val="32"/>
          <w:szCs w:val="32"/>
          <w:highlight w:val="none"/>
          <w:lang w:val="en-US" w:eastAsia="zh-Hans" w:bidi="ar-SA"/>
        </w:rPr>
        <w:t>总体</w:t>
      </w:r>
      <w:r>
        <w:rPr>
          <w:rFonts w:hint="eastAsia" w:ascii="仿宋_GB2312" w:hAnsi="仿宋_GB2312" w:eastAsia="仿宋_GB2312" w:cs="仿宋_GB2312"/>
          <w:kern w:val="2"/>
          <w:sz w:val="32"/>
          <w:szCs w:val="32"/>
          <w:highlight w:val="none"/>
          <w:lang w:val="en-US" w:eastAsia="zh-CN" w:bidi="ar-SA"/>
        </w:rPr>
        <w:t>偏差率为-1.08%。偏差原因主要是本年下基层巡演《金色的胡杨》，达到全年8场演出目标，100%完成艺术下基层任务完成率。全年演出计划100%按时完成，人员经费用于弥补在职人员基本工资及绩效工资，按月及时发放完成，达到100%及时率。</w:t>
      </w:r>
    </w:p>
    <w:p>
      <w:pPr>
        <w:spacing w:line="560" w:lineRule="exact"/>
        <w:ind w:firstLine="640" w:firstLineChars="200"/>
        <w:rPr>
          <w:rStyle w:val="17"/>
          <w:rFonts w:ascii="Times New Roman" w:hAnsi="Times New Roman" w:cs="Times New Roman"/>
          <w:color w:val="auto"/>
        </w:rPr>
      </w:pPr>
      <w:r>
        <w:rPr>
          <w:rFonts w:hint="eastAsia" w:eastAsia="黑体"/>
          <w:sz w:val="32"/>
          <w:szCs w:val="32"/>
          <w:lang w:eastAsia="zh-Hans"/>
        </w:rPr>
        <w:t>六</w:t>
      </w:r>
      <w:r>
        <w:rPr>
          <w:rFonts w:eastAsia="黑体"/>
          <w:sz w:val="32"/>
          <w:szCs w:val="32"/>
        </w:rPr>
        <w:t>、主要经验及做法、存在的问题及原因分析</w:t>
      </w:r>
    </w:p>
    <w:p>
      <w:pPr>
        <w:spacing w:line="560" w:lineRule="exact"/>
        <w:ind w:firstLine="627" w:firstLineChars="200"/>
        <w:rPr>
          <w:rFonts w:eastAsia="楷体"/>
          <w:b/>
          <w:spacing w:val="-4"/>
          <w:sz w:val="32"/>
          <w:szCs w:val="32"/>
        </w:rPr>
      </w:pPr>
      <w:r>
        <w:rPr>
          <w:rFonts w:eastAsia="楷体"/>
          <w:b/>
          <w:spacing w:val="-4"/>
          <w:sz w:val="32"/>
          <w:szCs w:val="32"/>
        </w:rPr>
        <w:t>（一）主要经验及做法</w:t>
      </w:r>
    </w:p>
    <w:p>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hint="eastAsia" w:ascii="Times New Roman" w:hAnsi="Times New Roman" w:eastAsia="仿宋_GB2312"/>
          <w:b w:val="0"/>
          <w:bCs w:val="0"/>
          <w:kern w:val="2"/>
          <w:lang w:eastAsia="zh-CN"/>
        </w:rPr>
      </w:pPr>
      <w:r>
        <w:rPr>
          <w:rFonts w:hint="eastAsia" w:ascii="Times New Roman" w:hAnsi="Times New Roman" w:eastAsia="仿宋_GB2312"/>
          <w:b w:val="0"/>
          <w:bCs w:val="0"/>
          <w:kern w:val="2"/>
          <w:lang w:eastAsia="zh-CN"/>
        </w:rPr>
        <w:t>我团按照年初绩效目标及预算计划，将资金用于在职人员基本工资及绩效工资的发放，发放过程中严格按照绩效目标要求，和资金管理办法，保证每人每次及时发放到位。</w:t>
      </w:r>
    </w:p>
    <w:p>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2.本年度演出任务受疫情影响，下半年计划未能全数实现，因此我单位要提前谋划，在做项目计划时考虑更多的因素，尽量做到合理有效，加强绩效目标管理落实。</w:t>
      </w:r>
    </w:p>
    <w:p>
      <w:pPr>
        <w:spacing w:line="560" w:lineRule="exact"/>
        <w:ind w:firstLine="640" w:firstLineChars="200"/>
        <w:rPr>
          <w:rFonts w:eastAsia="黑体"/>
          <w:sz w:val="32"/>
          <w:szCs w:val="32"/>
        </w:rPr>
      </w:pPr>
      <w:r>
        <w:rPr>
          <w:rFonts w:hint="eastAsia" w:eastAsia="黑体"/>
          <w:sz w:val="32"/>
          <w:szCs w:val="32"/>
          <w:lang w:eastAsia="zh-Hans"/>
        </w:rPr>
        <w:t>七、</w:t>
      </w:r>
      <w:r>
        <w:rPr>
          <w:rFonts w:eastAsia="黑体"/>
          <w:sz w:val="32"/>
          <w:szCs w:val="32"/>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3.进一步加强对绩效管理工作的组织领导，提高对预算绩效管理工作重要性的认识，总结经验查找问题，研究制定更全面更完善的绩效评价管理办法。</w:t>
      </w:r>
    </w:p>
    <w:p>
      <w:pPr>
        <w:spacing w:line="560" w:lineRule="exact"/>
        <w:ind w:firstLine="640" w:firstLineChars="200"/>
        <w:rPr>
          <w:rFonts w:eastAsia="黑体"/>
          <w:sz w:val="32"/>
          <w:szCs w:val="32"/>
        </w:rPr>
      </w:pPr>
      <w:r>
        <w:rPr>
          <w:rFonts w:hint="eastAsia" w:eastAsia="黑体"/>
          <w:sz w:val="32"/>
          <w:szCs w:val="32"/>
          <w:lang w:eastAsia="zh-Hans"/>
        </w:rPr>
        <w:t>八、</w:t>
      </w:r>
      <w:r>
        <w:rPr>
          <w:rFonts w:eastAsia="黑体"/>
          <w:sz w:val="32"/>
          <w:szCs w:val="32"/>
        </w:rPr>
        <w:t>其他需要说</w:t>
      </w:r>
      <w:bookmarkStart w:id="6" w:name="page8"/>
      <w:bookmarkEnd w:id="6"/>
      <w:r>
        <w:rPr>
          <w:rFonts w:eastAsia="黑体"/>
          <w:sz w:val="32"/>
          <w:szCs w:val="32"/>
        </w:rPr>
        <w:t>明的问题</w:t>
      </w:r>
    </w:p>
    <w:p>
      <w:pPr>
        <w:pStyle w:val="12"/>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本项目无其他需说明的问题。</w:t>
      </w:r>
    </w:p>
    <w:p>
      <w:pPr>
        <w:pStyle w:val="12"/>
        <w:spacing w:after="0" w:line="560" w:lineRule="exact"/>
        <w:ind w:left="0" w:leftChars="0" w:firstLine="640"/>
        <w:rPr>
          <w:rFonts w:ascii="仿宋_GB2312" w:hAnsi="仿宋_GB2312" w:eastAsia="仿宋_GB2312" w:cs="仿宋_GB2312"/>
          <w:sz w:val="32"/>
          <w:szCs w:val="32"/>
        </w:rPr>
      </w:pPr>
    </w:p>
    <w:p>
      <w:pPr>
        <w:pStyle w:val="12"/>
        <w:spacing w:after="0" w:line="560" w:lineRule="exact"/>
        <w:ind w:left="0" w:leftChars="0" w:firstLine="640"/>
        <w:rPr>
          <w:rFonts w:ascii="仿宋_GB2312" w:hAnsi="仿宋_GB2312" w:eastAsia="仿宋_GB2312" w:cs="仿宋_GB2312"/>
          <w:sz w:val="32"/>
          <w:szCs w:val="32"/>
        </w:rPr>
      </w:pPr>
    </w:p>
    <w:p>
      <w:pPr>
        <w:widowControl/>
        <w:jc w:val="both"/>
        <w:textAlignment w:val="center"/>
        <w:rPr>
          <w:rFonts w:eastAsia="方正小标宋简体"/>
          <w:b/>
          <w:kern w:val="0"/>
          <w:sz w:val="32"/>
          <w:szCs w:val="32"/>
          <w:lang w:bidi="ar"/>
        </w:rPr>
        <w:sectPr>
          <w:pgSz w:w="11906" w:h="16838"/>
          <w:pgMar w:top="1440" w:right="1558" w:bottom="1440" w:left="1800" w:header="851" w:footer="992" w:gutter="0"/>
          <w:cols w:space="425" w:num="1"/>
          <w:docGrid w:type="lines" w:linePitch="312" w:charSpace="0"/>
        </w:sectPr>
      </w:pPr>
    </w:p>
    <w:tbl>
      <w:tblPr>
        <w:tblStyle w:val="13"/>
        <w:tblW w:w="8700" w:type="dxa"/>
        <w:tblInd w:w="0" w:type="dxa"/>
        <w:tblLayout w:type="autofit"/>
        <w:tblCellMar>
          <w:top w:w="0" w:type="dxa"/>
          <w:left w:w="0" w:type="dxa"/>
          <w:bottom w:w="0" w:type="dxa"/>
          <w:right w:w="0" w:type="dxa"/>
        </w:tblCellMar>
      </w:tblPr>
      <w:tblGrid>
        <w:gridCol w:w="8700"/>
      </w:tblGrid>
      <w:tr>
        <w:tblPrEx>
          <w:tblCellMar>
            <w:top w:w="0" w:type="dxa"/>
            <w:left w:w="0" w:type="dxa"/>
            <w:bottom w:w="0" w:type="dxa"/>
            <w:right w:w="0" w:type="dxa"/>
          </w:tblCellMar>
        </w:tblPrEx>
        <w:trPr>
          <w:trHeight w:val="420" w:hRule="atLeast"/>
        </w:trPr>
        <w:tc>
          <w:tcPr>
            <w:tcW w:w="8700" w:type="dxa"/>
            <w:tcBorders>
              <w:top w:val="nil"/>
              <w:left w:val="nil"/>
              <w:bottom w:val="single" w:color="auto" w:sz="4" w:space="0"/>
              <w:right w:val="nil"/>
            </w:tcBorders>
            <w:shd w:val="clear" w:color="auto" w:fill="auto"/>
            <w:tcMar>
              <w:top w:w="12" w:type="dxa"/>
              <w:left w:w="12" w:type="dxa"/>
              <w:right w:w="12" w:type="dxa"/>
            </w:tcMar>
            <w:vAlign w:val="center"/>
          </w:tcPr>
          <w:tbl>
            <w:tblPr>
              <w:tblStyle w:val="13"/>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234"/>
              <w:gridCol w:w="739"/>
              <w:gridCol w:w="939"/>
              <w:gridCol w:w="1305"/>
              <w:gridCol w:w="1122"/>
              <w:gridCol w:w="1263"/>
              <w:gridCol w:w="625"/>
              <w:gridCol w:w="763"/>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0" w:type="auto"/>
                <w:trHeight w:val="90" w:hRule="atLeast"/>
              </w:trPr>
              <w:tc>
                <w:tcPr>
                  <w:tcW w:w="0" w:type="auto"/>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自治区本级政府购买演出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自治区文旅厅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新疆艺术剧院话剧团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演出补助资金优先用于弥补在职人员绩效工资发放和基本工资发放。进一步推进自治区级文艺院团体制机制创新，理顺各院团经费保障渠道，保证各院团演出活动的正常运转，调动演职人员的积极性，提升演出质量，增强其公共文化服务能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演出补助资金优先用于弥补在职人员绩效工资发放和基本工资发放。进一步推进自治区级文艺院团体制机制创新，理顺各院团经费保障渠道，保证各院团演出活动的正常运转，调动演职人员的积极性，提升演出质量，增强其公共文化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演出活动（场）</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≥8场</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弥补人员数量（人）</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发放次数</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＝12次</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艺术下基层任务完成率</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演出活动按时完成率</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人员经费发放及时率</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弥补基本工资</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2500元.人/次</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弥补绩效工资</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833.33元.人/次</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833.33元.人/次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提高各族群众精神文化生活水平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观看演出群众满意度</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bl>
          <w:p>
            <w:pPr>
              <w:pStyle w:val="2"/>
              <w:jc w:val="both"/>
            </w:pPr>
          </w:p>
        </w:tc>
      </w:tr>
    </w:tbl>
    <w:p>
      <w:pPr>
        <w:pStyle w:val="2"/>
        <w:jc w:val="both"/>
        <w:rPr>
          <w:rFonts w:ascii="Times New Roman" w:hAnsi="Times New Roman" w:eastAsia="黑体"/>
          <w:b w:val="0"/>
          <w:bCs w:val="0"/>
        </w:rPr>
      </w:pPr>
    </w:p>
    <w:p>
      <w:pPr>
        <w:pStyle w:val="2"/>
        <w:rPr>
          <w:rFonts w:ascii="Times New Roman" w:hAnsi="Times New Roman" w:eastAsia="黑体"/>
          <w:b w:val="0"/>
          <w:bCs w:val="0"/>
        </w:rPr>
      </w:pPr>
    </w:p>
    <w:p>
      <w:pPr>
        <w:pStyle w:val="2"/>
        <w:jc w:val="both"/>
        <w:rPr>
          <w:rFonts w:ascii="Times New Roman" w:hAnsi="Times New Roman"/>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rPr>
      </w:pPr>
      <w:r>
        <w:rPr>
          <w:rFonts w:hint="eastAsia" w:ascii="黑体" w:hAnsi="黑体" w:eastAsia="黑体" w:cs="黑体"/>
          <w:bCs/>
          <w:sz w:val="32"/>
          <w:szCs w:val="32"/>
        </w:rPr>
        <w:t>附件1</w:t>
      </w:r>
    </w:p>
    <w:p>
      <w:pPr>
        <w:pStyle w:val="18"/>
        <w:ind w:firstLine="562"/>
        <w:jc w:val="center"/>
        <w:rPr>
          <w:sz w:val="28"/>
          <w:szCs w:val="40"/>
        </w:rPr>
      </w:pPr>
      <w:bookmarkStart w:id="7" w:name="_Toc26499_WPSOffice_Level2"/>
      <w:bookmarkStart w:id="8" w:name="_Toc30064_WPSOffice_Level1"/>
      <w:r>
        <w:rPr>
          <w:rFonts w:hint="eastAsia"/>
          <w:b/>
          <w:bCs/>
          <w:sz w:val="28"/>
          <w:szCs w:val="40"/>
          <w:highlight w:val="none"/>
          <w:lang w:val="en-US" w:eastAsia="zh-CN"/>
        </w:rPr>
        <w:t>自治区本级政府购买演出</w:t>
      </w:r>
      <w:r>
        <w:rPr>
          <w:rFonts w:hint="eastAsia"/>
          <w:b/>
          <w:bCs/>
          <w:sz w:val="28"/>
          <w:szCs w:val="40"/>
        </w:rPr>
        <w:t>绩效评价指标体系及综合评分表</w:t>
      </w:r>
      <w:bookmarkEnd w:id="7"/>
      <w:bookmarkEnd w:id="8"/>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29"/>
        <w:gridCol w:w="764"/>
        <w:gridCol w:w="873"/>
        <w:gridCol w:w="2353"/>
        <w:gridCol w:w="5201"/>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一级指标</w:t>
            </w:r>
          </w:p>
        </w:tc>
        <w:tc>
          <w:tcPr>
            <w:tcW w:w="301"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二级指标</w:t>
            </w:r>
          </w:p>
        </w:tc>
        <w:tc>
          <w:tcPr>
            <w:tcW w:w="344"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三级指标</w:t>
            </w:r>
          </w:p>
        </w:tc>
        <w:tc>
          <w:tcPr>
            <w:tcW w:w="92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指标解释</w:t>
            </w:r>
          </w:p>
        </w:tc>
        <w:tc>
          <w:tcPr>
            <w:tcW w:w="2049"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指标说明</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权重</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p>
          <w:p>
            <w:pPr>
              <w:widowControl/>
              <w:spacing w:line="0" w:lineRule="atLeast"/>
              <w:jc w:val="center"/>
              <w:rPr>
                <w:color w:val="000000"/>
                <w:kern w:val="0"/>
                <w:sz w:val="22"/>
                <w:szCs w:val="22"/>
              </w:rPr>
            </w:pPr>
            <w:r>
              <w:rPr>
                <w:color w:val="000000"/>
                <w:kern w:val="0"/>
                <w:sz w:val="22"/>
                <w:szCs w:val="22"/>
              </w:rPr>
              <w:t>决策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项目立项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立项依据</w:t>
            </w:r>
          </w:p>
          <w:p>
            <w:pPr>
              <w:widowControl/>
              <w:spacing w:line="0" w:lineRule="atLeast"/>
              <w:jc w:val="center"/>
              <w:rPr>
                <w:color w:val="000000"/>
                <w:kern w:val="0"/>
                <w:sz w:val="22"/>
                <w:szCs w:val="22"/>
              </w:rPr>
            </w:pPr>
            <w:r>
              <w:rPr>
                <w:color w:val="000000"/>
                <w:kern w:val="0"/>
                <w:sz w:val="22"/>
                <w:szCs w:val="22"/>
              </w:rPr>
              <w:t>充分性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项目立项是否符合法律法规、相关政策、发展规划以及部门职责，用以反映和考核项目立项依据情况。</w:t>
            </w:r>
          </w:p>
        </w:tc>
        <w:tc>
          <w:tcPr>
            <w:tcW w:w="2049"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①项目立项是否符合国家法律法规、国民经济发展规划和相关政策；</w:t>
            </w:r>
            <w:r>
              <w:rPr>
                <w:color w:val="000000"/>
                <w:kern w:val="0"/>
                <w:sz w:val="22"/>
                <w:szCs w:val="22"/>
              </w:rPr>
              <w:br w:type="textWrapping"/>
            </w:r>
            <w:r>
              <w:rPr>
                <w:color w:val="000000"/>
                <w:kern w:val="0"/>
                <w:sz w:val="22"/>
                <w:szCs w:val="22"/>
              </w:rPr>
              <w:t>②项目立项是否符合行业发展规划和政策要求；</w:t>
            </w:r>
            <w:r>
              <w:rPr>
                <w:color w:val="000000"/>
                <w:kern w:val="0"/>
                <w:sz w:val="22"/>
                <w:szCs w:val="22"/>
              </w:rPr>
              <w:br w:type="textWrapping"/>
            </w:r>
            <w:r>
              <w:rPr>
                <w:color w:val="000000"/>
                <w:kern w:val="0"/>
                <w:sz w:val="22"/>
                <w:szCs w:val="22"/>
              </w:rPr>
              <w:t>③项目立项是否与部门职责范围相符，属于部门履职所需；</w:t>
            </w:r>
            <w:r>
              <w:rPr>
                <w:color w:val="000000"/>
                <w:kern w:val="0"/>
                <w:sz w:val="22"/>
                <w:szCs w:val="22"/>
              </w:rPr>
              <w:br w:type="textWrapping"/>
            </w:r>
            <w:r>
              <w:rPr>
                <w:color w:val="000000"/>
                <w:kern w:val="0"/>
                <w:sz w:val="22"/>
                <w:szCs w:val="22"/>
              </w:rPr>
              <w:t>④项目是否属于公共财政支持范围，是否符合中央、地方事权支出责任划分原则；</w:t>
            </w:r>
            <w:r>
              <w:rPr>
                <w:color w:val="000000"/>
                <w:kern w:val="0"/>
                <w:sz w:val="22"/>
                <w:szCs w:val="22"/>
              </w:rPr>
              <w:br w:type="textWrapping"/>
            </w:r>
            <w:r>
              <w:rPr>
                <w:color w:val="000000"/>
                <w:kern w:val="0"/>
                <w:sz w:val="22"/>
                <w:szCs w:val="22"/>
              </w:rPr>
              <w:t>⑤项目是否与相关部门同类项目或部门内部相关项目重复。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立项程序</w:t>
            </w:r>
          </w:p>
          <w:p>
            <w:pPr>
              <w:widowControl/>
              <w:spacing w:line="0" w:lineRule="atLeast"/>
              <w:jc w:val="center"/>
              <w:rPr>
                <w:color w:val="000000"/>
                <w:kern w:val="0"/>
                <w:sz w:val="22"/>
                <w:szCs w:val="22"/>
              </w:rPr>
            </w:pPr>
            <w:r>
              <w:rPr>
                <w:color w:val="000000"/>
                <w:kern w:val="0"/>
                <w:sz w:val="22"/>
                <w:szCs w:val="22"/>
              </w:rPr>
              <w:t>规范性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项目申请、设立过程是否符合相关要求，用以反映和考核项目立项的规范情况。</w:t>
            </w:r>
          </w:p>
        </w:tc>
        <w:tc>
          <w:tcPr>
            <w:tcW w:w="2049" w:type="pct"/>
            <w:shd w:val="clear" w:color="auto"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①项目是否按照规定的程序申请设立；</w:t>
            </w:r>
            <w:r>
              <w:rPr>
                <w:color w:val="000000"/>
                <w:kern w:val="0"/>
                <w:sz w:val="22"/>
                <w:szCs w:val="22"/>
              </w:rPr>
              <w:br w:type="textWrapping"/>
            </w:r>
            <w:r>
              <w:rPr>
                <w:color w:val="000000"/>
                <w:kern w:val="0"/>
                <w:sz w:val="22"/>
                <w:szCs w:val="22"/>
              </w:rPr>
              <w:t>②审批文件、材料是否符合相关要求；</w:t>
            </w:r>
            <w:r>
              <w:rPr>
                <w:color w:val="000000"/>
                <w:kern w:val="0"/>
                <w:sz w:val="22"/>
                <w:szCs w:val="22"/>
              </w:rPr>
              <w:br w:type="textWrapping"/>
            </w:r>
            <w:r>
              <w:rPr>
                <w:color w:val="000000"/>
                <w:kern w:val="0"/>
                <w:sz w:val="22"/>
                <w:szCs w:val="22"/>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绩效目标</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项目所设定的绩效目标是否依据充分，是否符合客观实际，用以反映和考核项目绩效目标与项目实施的相符情况。</w:t>
            </w:r>
          </w:p>
        </w:tc>
        <w:tc>
          <w:tcPr>
            <w:tcW w:w="2049" w:type="pct"/>
            <w:shd w:val="clear" w:color="000000" w:fill="FFFFFF"/>
            <w:vAlign w:val="center"/>
          </w:tcPr>
          <w:p>
            <w:pPr>
              <w:widowControl/>
              <w:spacing w:line="0" w:lineRule="atLeast"/>
              <w:jc w:val="lef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（如未设定预算绩效目标，也可考核其他工作任务目标）</w:t>
            </w:r>
            <w:r>
              <w:rPr>
                <w:color w:val="000000"/>
                <w:kern w:val="0"/>
                <w:sz w:val="22"/>
                <w:szCs w:val="22"/>
              </w:rPr>
              <w:br w:type="textWrapping"/>
            </w:r>
            <w:r>
              <w:rPr>
                <w:color w:val="000000"/>
                <w:kern w:val="0"/>
                <w:sz w:val="22"/>
                <w:szCs w:val="22"/>
              </w:rPr>
              <w:t>①项目是否有绩效目标；</w:t>
            </w:r>
            <w:r>
              <w:rPr>
                <w:color w:val="000000"/>
                <w:kern w:val="0"/>
                <w:sz w:val="22"/>
                <w:szCs w:val="22"/>
              </w:rPr>
              <w:br w:type="textWrapping"/>
            </w:r>
            <w:r>
              <w:rPr>
                <w:color w:val="000000"/>
                <w:kern w:val="0"/>
                <w:sz w:val="22"/>
                <w:szCs w:val="22"/>
              </w:rPr>
              <w:t>②项目绩效目标与实际工作内容是否具有相关性；</w:t>
            </w:r>
            <w:r>
              <w:rPr>
                <w:color w:val="000000"/>
                <w:kern w:val="0"/>
                <w:sz w:val="22"/>
                <w:szCs w:val="22"/>
              </w:rPr>
              <w:br w:type="textWrapping"/>
            </w:r>
            <w:r>
              <w:rPr>
                <w:color w:val="000000"/>
                <w:kern w:val="0"/>
                <w:sz w:val="22"/>
                <w:szCs w:val="22"/>
              </w:rPr>
              <w:t>③项目预期产出效益和效果是否符合正常的业绩水平；</w:t>
            </w:r>
          </w:p>
          <w:p>
            <w:pPr>
              <w:widowControl/>
              <w:spacing w:line="0" w:lineRule="atLeast"/>
              <w:jc w:val="left"/>
              <w:rPr>
                <w:color w:val="000000"/>
                <w:kern w:val="0"/>
                <w:sz w:val="22"/>
                <w:szCs w:val="22"/>
              </w:rPr>
            </w:pPr>
            <w:r>
              <w:rPr>
                <w:color w:val="000000"/>
                <w:kern w:val="0"/>
                <w:sz w:val="22"/>
                <w:szCs w:val="22"/>
              </w:rPr>
              <w:t>④是否与预算确定的项目投资额或资金量相匹配。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绩效指标</w:t>
            </w:r>
          </w:p>
          <w:p>
            <w:pPr>
              <w:widowControl/>
              <w:spacing w:line="0" w:lineRule="atLeast"/>
              <w:jc w:val="center"/>
              <w:rPr>
                <w:color w:val="000000"/>
                <w:kern w:val="0"/>
                <w:sz w:val="22"/>
                <w:szCs w:val="22"/>
              </w:rPr>
            </w:pPr>
            <w:r>
              <w:rPr>
                <w:color w:val="000000"/>
                <w:kern w:val="0"/>
                <w:sz w:val="22"/>
                <w:szCs w:val="22"/>
              </w:rPr>
              <w:t>明确性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依据绩效目标设定的绩效指标是否清晰、细化、可衡量等，用以反映和考核项目绩效目标的明细化情况。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①是否将项目绩效目标细化分解为具体的绩效指标；</w:t>
            </w:r>
            <w:r>
              <w:rPr>
                <w:color w:val="000000"/>
                <w:kern w:val="0"/>
                <w:sz w:val="22"/>
                <w:szCs w:val="22"/>
              </w:rPr>
              <w:br w:type="textWrapping"/>
            </w:r>
            <w:r>
              <w:rPr>
                <w:color w:val="000000"/>
                <w:kern w:val="0"/>
                <w:sz w:val="22"/>
                <w:szCs w:val="22"/>
              </w:rPr>
              <w:t>②是否通过清晰、可衡量的指标值予以体现；</w:t>
            </w:r>
            <w:r>
              <w:rPr>
                <w:color w:val="000000"/>
                <w:kern w:val="0"/>
                <w:sz w:val="22"/>
                <w:szCs w:val="22"/>
              </w:rPr>
              <w:br w:type="textWrapping"/>
            </w:r>
            <w:r>
              <w:rPr>
                <w:color w:val="000000"/>
                <w:kern w:val="0"/>
                <w:sz w:val="22"/>
                <w:szCs w:val="22"/>
              </w:rPr>
              <w:t>③是否与项目目标任务数或计划数相对应。</w:t>
            </w:r>
            <w:r>
              <w:rPr>
                <w:color w:val="000000"/>
                <w:kern w:val="0"/>
                <w:sz w:val="22"/>
                <w:szCs w:val="22"/>
              </w:rPr>
              <w:br w:type="textWrapping"/>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c>
          <w:tcPr>
            <w:tcW w:w="537"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资金投入</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预算编制</w:t>
            </w:r>
          </w:p>
          <w:p>
            <w:pPr>
              <w:widowControl/>
              <w:spacing w:line="0" w:lineRule="atLeast"/>
              <w:jc w:val="center"/>
              <w:rPr>
                <w:color w:val="000000"/>
                <w:kern w:val="0"/>
                <w:sz w:val="22"/>
                <w:szCs w:val="22"/>
              </w:rPr>
            </w:pPr>
            <w:r>
              <w:rPr>
                <w:color w:val="000000"/>
                <w:kern w:val="0"/>
                <w:sz w:val="22"/>
                <w:szCs w:val="22"/>
              </w:rPr>
              <w:t>科学性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项目预算编制是否经过科学论证、有明确标准，资金额度与年度目标是否相适应，用以反映和考核项目预算编制的科学性、合理性情况。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①预算编制是否经过科学论证；</w:t>
            </w:r>
            <w:r>
              <w:rPr>
                <w:color w:val="000000"/>
                <w:kern w:val="0"/>
                <w:sz w:val="22"/>
                <w:szCs w:val="22"/>
              </w:rPr>
              <w:br w:type="textWrapping"/>
            </w:r>
            <w:r>
              <w:rPr>
                <w:color w:val="000000"/>
                <w:kern w:val="0"/>
                <w:sz w:val="22"/>
                <w:szCs w:val="22"/>
              </w:rPr>
              <w:t>②预算内容与项目内容是否匹配；</w:t>
            </w:r>
            <w:r>
              <w:rPr>
                <w:color w:val="000000"/>
                <w:kern w:val="0"/>
                <w:sz w:val="22"/>
                <w:szCs w:val="22"/>
              </w:rPr>
              <w:br w:type="textWrapping"/>
            </w:r>
            <w:r>
              <w:rPr>
                <w:color w:val="000000"/>
                <w:kern w:val="0"/>
                <w:sz w:val="22"/>
                <w:szCs w:val="22"/>
              </w:rPr>
              <w:t>③预算额度测算依据是否充分，是否按照标准编制；</w:t>
            </w:r>
            <w:r>
              <w:rPr>
                <w:color w:val="000000"/>
                <w:kern w:val="0"/>
                <w:sz w:val="22"/>
                <w:szCs w:val="22"/>
              </w:rPr>
              <w:br w:type="textWrapping"/>
            </w:r>
            <w:r>
              <w:rPr>
                <w:color w:val="000000"/>
                <w:kern w:val="0"/>
                <w:sz w:val="22"/>
                <w:szCs w:val="22"/>
              </w:rPr>
              <w:t>④预算确定的项目投资额或资金量是否与工作任务相匹配。</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资金分配</w:t>
            </w:r>
          </w:p>
          <w:p>
            <w:pPr>
              <w:widowControl/>
              <w:spacing w:line="0" w:lineRule="atLeast"/>
              <w:jc w:val="center"/>
              <w:rPr>
                <w:color w:val="000000"/>
                <w:kern w:val="0"/>
                <w:sz w:val="22"/>
                <w:szCs w:val="22"/>
              </w:rPr>
            </w:pPr>
            <w:r>
              <w:rPr>
                <w:color w:val="000000"/>
                <w:kern w:val="0"/>
                <w:sz w:val="22"/>
                <w:szCs w:val="22"/>
              </w:rPr>
              <w:t>合理性</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项目预算资金分配是否有测算依据，与补助单位或地方实际是否相适应，用以反映和考核项目预算资金分配的科学性、合理性情况。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①预算资金分配依据是否充分；</w:t>
            </w:r>
            <w:r>
              <w:rPr>
                <w:color w:val="000000"/>
                <w:kern w:val="0"/>
                <w:sz w:val="22"/>
                <w:szCs w:val="22"/>
              </w:rPr>
              <w:br w:type="textWrapping"/>
            </w:r>
            <w:r>
              <w:rPr>
                <w:color w:val="000000"/>
                <w:kern w:val="0"/>
                <w:sz w:val="22"/>
                <w:szCs w:val="22"/>
              </w:rPr>
              <w:t>②资金分配额度是否合理，与项目单位或地方实际是否相适应。</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7" w:type="pct"/>
            <w:vMerge w:val="restart"/>
            <w:shd w:val="clear" w:color="auto" w:fill="FFFFFF"/>
            <w:vAlign w:val="center"/>
          </w:tcPr>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p>
          <w:p>
            <w:pPr>
              <w:spacing w:line="0" w:lineRule="atLeast"/>
              <w:jc w:val="center"/>
              <w:rPr>
                <w:color w:val="000000"/>
                <w:kern w:val="0"/>
                <w:sz w:val="22"/>
                <w:szCs w:val="22"/>
              </w:rPr>
            </w:pPr>
            <w:r>
              <w:rPr>
                <w:color w:val="000000"/>
                <w:kern w:val="0"/>
                <w:sz w:val="22"/>
                <w:szCs w:val="22"/>
              </w:rPr>
              <w:t>过程</w:t>
            </w:r>
          </w:p>
          <w:p>
            <w:pPr>
              <w:widowControl/>
              <w:spacing w:line="0" w:lineRule="atLeast"/>
              <w:jc w:val="center"/>
              <w:rPr>
                <w:color w:val="000000"/>
                <w:kern w:val="0"/>
                <w:sz w:val="22"/>
                <w:szCs w:val="22"/>
              </w:rPr>
            </w:pPr>
            <w:r>
              <w:rPr>
                <w:color w:val="000000"/>
                <w:kern w:val="0"/>
                <w:sz w:val="22"/>
                <w:szCs w:val="22"/>
              </w:rPr>
              <w:t>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资金到位率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实际到位资金与预算资金的比率，用以反映和考核资金落实情况对项目实施的总体保障程度。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资金到位率=（实际到位资金/预算资金）×100%。</w:t>
            </w:r>
          </w:p>
          <w:p>
            <w:pPr>
              <w:widowControl/>
              <w:spacing w:line="0" w:lineRule="atLeast"/>
              <w:rPr>
                <w:color w:val="000000"/>
                <w:kern w:val="0"/>
                <w:sz w:val="22"/>
                <w:szCs w:val="22"/>
              </w:rPr>
            </w:pPr>
            <w:r>
              <w:rPr>
                <w:color w:val="000000"/>
                <w:kern w:val="0"/>
                <w:sz w:val="22"/>
                <w:szCs w:val="22"/>
              </w:rPr>
              <w:t>实际到位资金：一定时期（本年度或项目期）内落实到具体项目的资金。</w:t>
            </w:r>
          </w:p>
          <w:p>
            <w:pPr>
              <w:widowControl/>
              <w:spacing w:line="0" w:lineRule="atLeast"/>
              <w:rPr>
                <w:color w:val="000000"/>
                <w:kern w:val="0"/>
                <w:sz w:val="22"/>
                <w:szCs w:val="22"/>
              </w:rPr>
            </w:pPr>
            <w:r>
              <w:rPr>
                <w:color w:val="000000"/>
                <w:kern w:val="0"/>
                <w:sz w:val="22"/>
                <w:szCs w:val="22"/>
              </w:rPr>
              <w:t>预算资金：一定时期（本年度或项目期）内预算安排到具体项目的资金。</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1" w:type="pct"/>
            <w:vMerge w:val="continue"/>
            <w:shd w:val="clear" w:color="auto" w:fill="FFFFFF"/>
            <w:vAlign w:val="center"/>
          </w:tcPr>
          <w:p>
            <w:pPr>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预算执行率</w:t>
            </w:r>
          </w:p>
        </w:tc>
        <w:tc>
          <w:tcPr>
            <w:tcW w:w="927" w:type="pct"/>
            <w:shd w:val="clear" w:color="auto" w:fill="FFFFFF"/>
            <w:vAlign w:val="center"/>
          </w:tcPr>
          <w:p>
            <w:pPr>
              <w:widowControl/>
              <w:spacing w:line="0" w:lineRule="atLeast"/>
              <w:rPr>
                <w:color w:val="000000"/>
                <w:kern w:val="0"/>
                <w:sz w:val="22"/>
                <w:szCs w:val="22"/>
              </w:rPr>
            </w:pPr>
            <w:r>
              <w:rPr>
                <w:color w:val="000000"/>
                <w:kern w:val="0"/>
                <w:sz w:val="22"/>
                <w:szCs w:val="22"/>
              </w:rPr>
              <w:t>项目预算资金是否按照计划执行，用以反映或考核项目预算执行情况。</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预算执行率=（实际支出资金/实际到位资金）×100%。</w:t>
            </w:r>
            <w:r>
              <w:rPr>
                <w:color w:val="000000"/>
                <w:kern w:val="0"/>
                <w:sz w:val="22"/>
                <w:szCs w:val="22"/>
              </w:rPr>
              <w:br w:type="textWrapping"/>
            </w:r>
            <w:r>
              <w:rPr>
                <w:color w:val="000000"/>
                <w:kern w:val="0"/>
                <w:sz w:val="22"/>
                <w:szCs w:val="22"/>
              </w:rPr>
              <w:t>实际支出资金：一定时期（本年度或项目期）内项目实际拨付的资金。</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资金管理</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资金使用</w:t>
            </w:r>
          </w:p>
          <w:p>
            <w:pPr>
              <w:widowControl/>
              <w:spacing w:line="0" w:lineRule="atLeast"/>
              <w:jc w:val="center"/>
              <w:rPr>
                <w:color w:val="000000"/>
                <w:kern w:val="0"/>
                <w:sz w:val="22"/>
                <w:szCs w:val="22"/>
              </w:rPr>
            </w:pPr>
            <w:r>
              <w:rPr>
                <w:color w:val="000000"/>
                <w:kern w:val="0"/>
                <w:sz w:val="22"/>
                <w:szCs w:val="22"/>
              </w:rPr>
              <w:t>合规性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项目资金使用是否符合相关的财务管理制度规定，用以反映和考核项目资金的规范运行情况。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①是否符合国家财经法规和财务管理制度以及有关专项资金管理办法的规定；</w:t>
            </w:r>
            <w:r>
              <w:rPr>
                <w:color w:val="000000"/>
                <w:kern w:val="0"/>
                <w:sz w:val="22"/>
                <w:szCs w:val="22"/>
              </w:rPr>
              <w:br w:type="textWrapping"/>
            </w:r>
            <w:r>
              <w:rPr>
                <w:color w:val="000000"/>
                <w:kern w:val="0"/>
                <w:sz w:val="22"/>
                <w:szCs w:val="22"/>
              </w:rPr>
              <w:t>②资金的拨付是否有完整的审批程序和手续；</w:t>
            </w:r>
            <w:r>
              <w:rPr>
                <w:color w:val="000000"/>
                <w:kern w:val="0"/>
                <w:sz w:val="22"/>
                <w:szCs w:val="22"/>
              </w:rPr>
              <w:br w:type="textWrapping"/>
            </w:r>
            <w:r>
              <w:rPr>
                <w:color w:val="000000"/>
                <w:kern w:val="0"/>
                <w:sz w:val="22"/>
                <w:szCs w:val="22"/>
              </w:rPr>
              <w:t>③是否符合项目预算批复或合同规定的用途；</w:t>
            </w:r>
            <w:r>
              <w:rPr>
                <w:color w:val="000000"/>
                <w:kern w:val="0"/>
                <w:sz w:val="22"/>
                <w:szCs w:val="22"/>
              </w:rPr>
              <w:br w:type="textWrapping"/>
            </w:r>
            <w:r>
              <w:rPr>
                <w:color w:val="000000"/>
                <w:kern w:val="0"/>
                <w:sz w:val="22"/>
                <w:szCs w:val="22"/>
              </w:rPr>
              <w:t>④是否存在截留、挤占、挪用、虚列支出等情况。</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组织实施</w:t>
            </w:r>
          </w:p>
          <w:p>
            <w:pPr>
              <w:spacing w:line="0" w:lineRule="atLeast"/>
              <w:jc w:val="center"/>
              <w:rPr>
                <w:color w:val="000000"/>
                <w:kern w:val="0"/>
                <w:sz w:val="22"/>
                <w:szCs w:val="22"/>
              </w:rPr>
            </w:pPr>
            <w:r>
              <w:rPr>
                <w:color w:val="000000"/>
                <w:kern w:val="0"/>
                <w:sz w:val="22"/>
                <w:szCs w:val="22"/>
              </w:rPr>
              <w:t>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管理制度</w:t>
            </w:r>
          </w:p>
          <w:p>
            <w:pPr>
              <w:widowControl/>
              <w:spacing w:line="0" w:lineRule="atLeast"/>
              <w:jc w:val="center"/>
              <w:rPr>
                <w:color w:val="000000"/>
                <w:kern w:val="0"/>
                <w:sz w:val="22"/>
                <w:szCs w:val="22"/>
              </w:rPr>
            </w:pPr>
            <w:r>
              <w:rPr>
                <w:color w:val="000000"/>
                <w:kern w:val="0"/>
                <w:sz w:val="22"/>
                <w:szCs w:val="22"/>
              </w:rPr>
              <w:t>健全性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项目实施单位的财务和业务管理制度是否健全，用以反映和考核财务和业务管理制度对项目顺利实施的保障情况。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①是否已制定或具有相应的财务和业务管理制度；</w:t>
            </w:r>
            <w:r>
              <w:rPr>
                <w:color w:val="000000"/>
                <w:kern w:val="0"/>
                <w:sz w:val="22"/>
                <w:szCs w:val="22"/>
              </w:rPr>
              <w:br w:type="textWrapping"/>
            </w:r>
            <w:r>
              <w:rPr>
                <w:color w:val="000000"/>
                <w:kern w:val="0"/>
                <w:sz w:val="22"/>
                <w:szCs w:val="22"/>
              </w:rPr>
              <w:t>②财务和业务管理制度是否合法、合规、完整。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制度执行</w:t>
            </w:r>
          </w:p>
          <w:p>
            <w:pPr>
              <w:widowControl/>
              <w:spacing w:line="0" w:lineRule="atLeast"/>
              <w:jc w:val="center"/>
              <w:rPr>
                <w:color w:val="000000"/>
                <w:kern w:val="0"/>
                <w:sz w:val="22"/>
                <w:szCs w:val="22"/>
              </w:rPr>
            </w:pPr>
            <w:r>
              <w:rPr>
                <w:color w:val="000000"/>
                <w:kern w:val="0"/>
                <w:sz w:val="22"/>
                <w:szCs w:val="22"/>
              </w:rPr>
              <w:t>有效性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项目实施是否符合相关管理规定，用以反映和考核相关管理制度的有效执行情况。</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评价要点：</w:t>
            </w:r>
            <w:r>
              <w:rPr>
                <w:color w:val="000000"/>
                <w:kern w:val="0"/>
                <w:sz w:val="22"/>
                <w:szCs w:val="22"/>
              </w:rPr>
              <w:br w:type="textWrapping"/>
            </w:r>
            <w:r>
              <w:rPr>
                <w:color w:val="000000"/>
                <w:kern w:val="0"/>
                <w:sz w:val="22"/>
                <w:szCs w:val="22"/>
              </w:rPr>
              <w:t>①是否遵守相关法律法规和相关管理规定；</w:t>
            </w:r>
            <w:r>
              <w:rPr>
                <w:color w:val="000000"/>
                <w:kern w:val="0"/>
                <w:sz w:val="22"/>
                <w:szCs w:val="22"/>
              </w:rPr>
              <w:br w:type="textWrapping"/>
            </w:r>
            <w:r>
              <w:rPr>
                <w:color w:val="000000"/>
                <w:kern w:val="0"/>
                <w:sz w:val="22"/>
                <w:szCs w:val="22"/>
              </w:rPr>
              <w:t>②项目调整及支出调整手续是否完备；</w:t>
            </w:r>
            <w:r>
              <w:rPr>
                <w:color w:val="000000"/>
                <w:kern w:val="0"/>
                <w:sz w:val="22"/>
                <w:szCs w:val="22"/>
              </w:rPr>
              <w:br w:type="textWrapping"/>
            </w:r>
            <w:r>
              <w:rPr>
                <w:color w:val="000000"/>
                <w:kern w:val="0"/>
                <w:sz w:val="22"/>
                <w:szCs w:val="22"/>
              </w:rPr>
              <w:t>③项目合同书、验收报告、技术鉴定等资料是否齐全并及时归档；</w:t>
            </w:r>
            <w:r>
              <w:rPr>
                <w:color w:val="000000"/>
                <w:kern w:val="0"/>
                <w:sz w:val="22"/>
                <w:szCs w:val="22"/>
              </w:rPr>
              <w:br w:type="textWrapping"/>
            </w:r>
            <w:r>
              <w:rPr>
                <w:color w:val="000000"/>
                <w:kern w:val="0"/>
                <w:sz w:val="22"/>
                <w:szCs w:val="22"/>
              </w:rPr>
              <w:t>④项目实施的人员条件、场地设备、信息支撑等是否落实到位。</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c>
          <w:tcPr>
            <w:tcW w:w="537"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产出</w:t>
            </w: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产出数量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实际完成率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项目实施的实际产出数与计划产出数的比率，用以反映和考核项目产出数量目标的实现程度。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实际完成率=（实际产出数/计划产出数）×100%。</w:t>
            </w:r>
            <w:r>
              <w:rPr>
                <w:color w:val="000000"/>
                <w:kern w:val="0"/>
                <w:sz w:val="22"/>
                <w:szCs w:val="22"/>
              </w:rPr>
              <w:br w:type="textWrapping"/>
            </w:r>
            <w:r>
              <w:rPr>
                <w:color w:val="000000"/>
                <w:kern w:val="0"/>
                <w:sz w:val="22"/>
                <w:szCs w:val="22"/>
              </w:rPr>
              <w:t>实际产出数：一定时期（本年度或项目期）内项目实际产出的产品或提供的服务数量。</w:t>
            </w:r>
            <w:r>
              <w:rPr>
                <w:color w:val="000000"/>
                <w:kern w:val="0"/>
                <w:sz w:val="22"/>
                <w:szCs w:val="22"/>
              </w:rPr>
              <w:br w:type="textWrapping"/>
            </w:r>
            <w:r>
              <w:rPr>
                <w:color w:val="000000"/>
                <w:kern w:val="0"/>
                <w:sz w:val="22"/>
                <w:szCs w:val="22"/>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产出质量</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质量达标率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项目完成的质量达标产出数与实际产出数的比率，用以反映和考核项目产出质量目标的实现程度。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质量达标率=（质量达标产出数/实际产出数）×100%。</w:t>
            </w:r>
          </w:p>
          <w:p>
            <w:pPr>
              <w:widowControl/>
              <w:spacing w:line="0" w:lineRule="atLeast"/>
              <w:rPr>
                <w:color w:val="000000"/>
                <w:kern w:val="0"/>
                <w:sz w:val="22"/>
                <w:szCs w:val="22"/>
              </w:rPr>
            </w:pPr>
            <w:r>
              <w:rPr>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7" w:type="pct"/>
            <w:vMerge w:val="continue"/>
            <w:shd w:val="clear" w:color="auto" w:fill="FFFFFF"/>
            <w:vAlign w:val="center"/>
          </w:tcPr>
          <w:p>
            <w:pPr>
              <w:spacing w:line="0" w:lineRule="atLeast"/>
              <w:jc w:val="center"/>
              <w:rPr>
                <w:color w:val="000000"/>
                <w:kern w:val="0"/>
                <w:sz w:val="22"/>
                <w:szCs w:val="22"/>
              </w:rPr>
            </w:pPr>
          </w:p>
        </w:tc>
        <w:tc>
          <w:tcPr>
            <w:tcW w:w="301" w:type="pct"/>
            <w:shd w:val="clear" w:color="auto" w:fill="FFFFFF"/>
            <w:vAlign w:val="center"/>
          </w:tcPr>
          <w:p>
            <w:pPr>
              <w:spacing w:line="0" w:lineRule="atLeast"/>
              <w:jc w:val="center"/>
              <w:rPr>
                <w:color w:val="000000"/>
                <w:kern w:val="0"/>
                <w:sz w:val="22"/>
                <w:szCs w:val="22"/>
              </w:rPr>
            </w:pPr>
            <w:r>
              <w:rPr>
                <w:color w:val="000000"/>
                <w:kern w:val="0"/>
                <w:sz w:val="22"/>
                <w:szCs w:val="22"/>
              </w:rPr>
              <w:t>产出时效</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完成及时性</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项目实际完成时间与计划完成时间的比较，用以反映和考核项目产出时效目标的实现程度。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实际完成时间：项目实施单位完成该项目实际所耗用的时间。</w:t>
            </w:r>
            <w:r>
              <w:rPr>
                <w:color w:val="000000"/>
                <w:kern w:val="0"/>
                <w:sz w:val="22"/>
                <w:szCs w:val="22"/>
              </w:rPr>
              <w:br w:type="textWrapping"/>
            </w:r>
            <w:r>
              <w:rPr>
                <w:color w:val="000000"/>
                <w:kern w:val="0"/>
                <w:sz w:val="22"/>
                <w:szCs w:val="22"/>
              </w:rPr>
              <w:t>计划完成时间：按照项目实施计划或相关规定完成该项目所需的时间。</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1"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产出成本</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成本节约率</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完成项目计划工作目标的实际节约成本与计划成本的比率，用以反映和考核项目的成本节约程度。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br w:type="textWrapping"/>
            </w:r>
            <w:r>
              <w:rPr>
                <w:color w:val="000000"/>
                <w:kern w:val="0"/>
                <w:sz w:val="22"/>
                <w:szCs w:val="22"/>
              </w:rPr>
              <w:t>成本节约率=[（计划成本-实际成本）/计划成本]×100%。</w:t>
            </w:r>
            <w:r>
              <w:rPr>
                <w:color w:val="000000"/>
                <w:kern w:val="0"/>
                <w:sz w:val="22"/>
                <w:szCs w:val="22"/>
              </w:rPr>
              <w:br w:type="textWrapping"/>
            </w:r>
            <w:r>
              <w:rPr>
                <w:color w:val="000000"/>
                <w:kern w:val="0"/>
                <w:sz w:val="22"/>
                <w:szCs w:val="22"/>
              </w:rPr>
              <w:t>实际成本：项目实施单位如期、保质、保量完成既定工作目标实际所耗费的支出。</w:t>
            </w:r>
            <w:r>
              <w:rPr>
                <w:color w:val="000000"/>
                <w:kern w:val="0"/>
                <w:sz w:val="22"/>
                <w:szCs w:val="22"/>
              </w:rPr>
              <w:br w:type="textWrapping"/>
            </w:r>
            <w:r>
              <w:rPr>
                <w:color w:val="000000"/>
                <w:kern w:val="0"/>
                <w:sz w:val="22"/>
                <w:szCs w:val="22"/>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537" w:type="pct"/>
            <w:shd w:val="clear" w:color="000000" w:fill="FFFFFF"/>
            <w:vAlign w:val="center"/>
          </w:tcPr>
          <w:p>
            <w:pPr>
              <w:widowControl/>
              <w:spacing w:line="0" w:lineRule="atLeast"/>
              <w:jc w:val="center"/>
              <w:rPr>
                <w:rFonts w:ascii="Times New Roman" w:hAnsi="Times New Roman" w:eastAsia="宋体" w:cs="Times New Roman"/>
                <w:b/>
                <w:bCs/>
                <w:color w:val="000000"/>
                <w:kern w:val="0"/>
                <w:sz w:val="22"/>
                <w:szCs w:val="22"/>
                <w:lang w:val="en-US" w:eastAsia="zh-CN" w:bidi="ar-SA"/>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7"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效益　</w:t>
            </w:r>
          </w:p>
        </w:tc>
        <w:tc>
          <w:tcPr>
            <w:tcW w:w="301" w:type="pct"/>
            <w:vMerge w:val="restart"/>
            <w:shd w:val="clear" w:color="auto" w:fill="FFFFFF"/>
            <w:vAlign w:val="center"/>
          </w:tcPr>
          <w:p>
            <w:pPr>
              <w:widowControl/>
              <w:spacing w:line="0" w:lineRule="atLeast"/>
              <w:jc w:val="center"/>
              <w:rPr>
                <w:color w:val="000000"/>
                <w:kern w:val="0"/>
                <w:sz w:val="22"/>
                <w:szCs w:val="22"/>
              </w:rPr>
            </w:pPr>
            <w:r>
              <w:rPr>
                <w:color w:val="000000"/>
                <w:kern w:val="0"/>
                <w:sz w:val="22"/>
                <w:szCs w:val="22"/>
              </w:rPr>
              <w:t>项目效益　</w:t>
            </w: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实施效益</w:t>
            </w:r>
          </w:p>
        </w:tc>
        <w:tc>
          <w:tcPr>
            <w:tcW w:w="927" w:type="pct"/>
            <w:shd w:val="clear" w:color="auto" w:fill="FFFFFF"/>
            <w:vAlign w:val="center"/>
          </w:tcPr>
          <w:p>
            <w:pPr>
              <w:widowControl/>
              <w:spacing w:line="0" w:lineRule="atLeast"/>
              <w:jc w:val="left"/>
              <w:rPr>
                <w:color w:val="000000"/>
                <w:kern w:val="0"/>
                <w:sz w:val="22"/>
                <w:szCs w:val="22"/>
              </w:rPr>
            </w:pPr>
            <w:r>
              <w:rPr>
                <w:color w:val="000000"/>
                <w:kern w:val="0"/>
                <w:sz w:val="22"/>
                <w:szCs w:val="22"/>
              </w:rPr>
              <w:t>项目实施所产生的效益。</w:t>
            </w:r>
          </w:p>
        </w:tc>
        <w:tc>
          <w:tcPr>
            <w:tcW w:w="2049" w:type="pct"/>
            <w:shd w:val="clear" w:color="auto" w:fill="FFFFFF"/>
            <w:vAlign w:val="center"/>
          </w:tcPr>
          <w:p>
            <w:pPr>
              <w:widowControl/>
              <w:spacing w:line="0" w:lineRule="atLeast"/>
              <w:rPr>
                <w:color w:val="000000"/>
                <w:kern w:val="0"/>
                <w:sz w:val="22"/>
                <w:szCs w:val="22"/>
              </w:rPr>
            </w:pPr>
            <w:r>
              <w:rPr>
                <w:color w:val="000000"/>
                <w:kern w:val="0"/>
                <w:sz w:val="22"/>
                <w:szCs w:val="22"/>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auto" w:fill="FFFFFF"/>
            <w:vAlign w:val="center"/>
          </w:tcPr>
          <w:p>
            <w:pPr>
              <w:widowControl/>
              <w:spacing w:line="0" w:lineRule="atLeast"/>
              <w:jc w:val="center"/>
              <w:rPr>
                <w:b/>
                <w:bCs/>
                <w:color w:val="000000"/>
                <w:kern w:val="0"/>
                <w:sz w:val="22"/>
                <w:szCs w:val="22"/>
              </w:rPr>
            </w:pPr>
            <w:r>
              <w:rPr>
                <w:b/>
                <w:bCs/>
                <w:color w:val="000000"/>
                <w:kern w:val="0"/>
                <w:sz w:val="22"/>
                <w:szCs w:val="22"/>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7" w:type="pct"/>
            <w:vMerge w:val="continue"/>
            <w:shd w:val="clear" w:color="auto" w:fill="FFFFFF"/>
            <w:vAlign w:val="center"/>
          </w:tcPr>
          <w:p>
            <w:pPr>
              <w:widowControl/>
              <w:spacing w:line="0" w:lineRule="atLeast"/>
              <w:jc w:val="center"/>
              <w:rPr>
                <w:color w:val="000000"/>
                <w:kern w:val="0"/>
                <w:sz w:val="22"/>
                <w:szCs w:val="22"/>
              </w:rPr>
            </w:pPr>
          </w:p>
        </w:tc>
        <w:tc>
          <w:tcPr>
            <w:tcW w:w="301" w:type="pct"/>
            <w:vMerge w:val="continue"/>
            <w:shd w:val="clear" w:color="auto" w:fill="FFFFFF"/>
            <w:vAlign w:val="center"/>
          </w:tcPr>
          <w:p>
            <w:pPr>
              <w:widowControl/>
              <w:spacing w:line="0" w:lineRule="atLeast"/>
              <w:jc w:val="center"/>
              <w:rPr>
                <w:color w:val="000000"/>
                <w:kern w:val="0"/>
                <w:sz w:val="22"/>
                <w:szCs w:val="22"/>
              </w:rPr>
            </w:pPr>
          </w:p>
        </w:tc>
        <w:tc>
          <w:tcPr>
            <w:tcW w:w="344" w:type="pct"/>
            <w:shd w:val="clear" w:color="auto" w:fill="FFFFFF"/>
            <w:vAlign w:val="center"/>
          </w:tcPr>
          <w:p>
            <w:pPr>
              <w:widowControl/>
              <w:spacing w:line="0" w:lineRule="atLeast"/>
              <w:jc w:val="center"/>
              <w:rPr>
                <w:color w:val="000000"/>
                <w:kern w:val="0"/>
                <w:sz w:val="22"/>
                <w:szCs w:val="22"/>
              </w:rPr>
            </w:pPr>
            <w:r>
              <w:rPr>
                <w:color w:val="000000"/>
                <w:kern w:val="0"/>
                <w:sz w:val="22"/>
                <w:szCs w:val="22"/>
              </w:rPr>
              <w:t>满意度</w:t>
            </w:r>
          </w:p>
        </w:tc>
        <w:tc>
          <w:tcPr>
            <w:tcW w:w="927"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社会公众或服务对象对项目实施效果的满意程度。</w:t>
            </w:r>
          </w:p>
        </w:tc>
        <w:tc>
          <w:tcPr>
            <w:tcW w:w="2049" w:type="pct"/>
            <w:shd w:val="clear" w:color="000000" w:fill="FFFFFF"/>
            <w:vAlign w:val="center"/>
          </w:tcPr>
          <w:p>
            <w:pPr>
              <w:widowControl/>
              <w:spacing w:line="0" w:lineRule="atLeast"/>
              <w:rPr>
                <w:color w:val="000000"/>
                <w:kern w:val="0"/>
                <w:sz w:val="22"/>
                <w:szCs w:val="22"/>
              </w:rPr>
            </w:pPr>
            <w:r>
              <w:rPr>
                <w:color w:val="000000"/>
                <w:kern w:val="0"/>
                <w:sz w:val="22"/>
                <w:szCs w:val="22"/>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c>
          <w:tcPr>
            <w:tcW w:w="1363" w:type="dxa"/>
            <w:shd w:val="clear" w:color="000000" w:fill="FFFFFF"/>
            <w:vAlign w:val="center"/>
          </w:tcPr>
          <w:p>
            <w:pPr>
              <w:widowControl/>
              <w:spacing w:line="0" w:lineRule="atLeast"/>
              <w:jc w:val="center"/>
              <w:rPr>
                <w:b/>
                <w:bCs/>
                <w:color w:val="000000"/>
                <w:kern w:val="0"/>
                <w:sz w:val="22"/>
                <w:szCs w:val="22"/>
              </w:rPr>
            </w:pPr>
            <w:r>
              <w:rPr>
                <w:b/>
                <w:bCs/>
                <w:color w:val="000000"/>
                <w:kern w:val="0"/>
                <w:sz w:val="22"/>
                <w:szCs w:val="22"/>
              </w:rPr>
              <w:t>10</w:t>
            </w:r>
          </w:p>
        </w:tc>
      </w:tr>
    </w:tbl>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B94E38-F9D3-4E11-870E-40F251F36A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59FD5B1-4C88-4BE3-AE00-E5B496865D32}"/>
  </w:font>
  <w:font w:name="华文中宋">
    <w:altName w:val="宋体"/>
    <w:panose1 w:val="02010600040101010101"/>
    <w:charset w:val="86"/>
    <w:family w:val="auto"/>
    <w:pitch w:val="default"/>
    <w:sig w:usb0="00000000" w:usb1="00000000" w:usb2="00000000" w:usb3="00000000" w:csb0="0004009F" w:csb1="DFD70000"/>
    <w:embedRegular r:id="rId3" w:fontKey="{F4D29D65-E746-4DA1-96A0-6CA83912F44A}"/>
  </w:font>
  <w:font w:name="方正小标宋_GBK">
    <w:panose1 w:val="02000000000000000000"/>
    <w:charset w:val="86"/>
    <w:family w:val="script"/>
    <w:pitch w:val="default"/>
    <w:sig w:usb0="A00002BF" w:usb1="38CF7CFA" w:usb2="00082016" w:usb3="00000000" w:csb0="00040001" w:csb1="00000000"/>
    <w:embedRegular r:id="rId4" w:fontKey="{0FBE6C37-2370-41F3-A793-30A0B110407C}"/>
  </w:font>
  <w:font w:name="楷体_GB2312">
    <w:altName w:val="楷体"/>
    <w:panose1 w:val="02010609030101010101"/>
    <w:charset w:val="86"/>
    <w:family w:val="auto"/>
    <w:pitch w:val="default"/>
    <w:sig w:usb0="00000000" w:usb1="00000000" w:usb2="00000000" w:usb3="00000000" w:csb0="00040000" w:csb1="00000000"/>
    <w:embedRegular r:id="rId5" w:fontKey="{A79C6ABC-D419-4ABF-8F38-3BA488311C2B}"/>
  </w:font>
  <w:font w:name="方正仿宋_GBK">
    <w:panose1 w:val="02000000000000000000"/>
    <w:charset w:val="86"/>
    <w:family w:val="auto"/>
    <w:pitch w:val="default"/>
    <w:sig w:usb0="A00002BF" w:usb1="38CF7CFA" w:usb2="00082016" w:usb3="00000000" w:csb0="00040001" w:csb1="00000000"/>
    <w:embedRegular r:id="rId6" w:fontKey="{C987E9C4-DD3D-4979-A56B-A4B235A9C1C3}"/>
  </w:font>
  <w:font w:name="楷体">
    <w:panose1 w:val="02010609060101010101"/>
    <w:charset w:val="86"/>
    <w:family w:val="modern"/>
    <w:pitch w:val="default"/>
    <w:sig w:usb0="800002BF" w:usb1="38CF7CFA" w:usb2="00000016" w:usb3="00000000" w:csb0="00040001" w:csb1="00000000"/>
    <w:embedRegular r:id="rId7" w:fontKey="{97842610-3360-4699-805C-9CD716829641}"/>
  </w:font>
  <w:font w:name="方正小标宋简体">
    <w:altName w:val="方正小标宋_GBK"/>
    <w:panose1 w:val="00000000000000000000"/>
    <w:charset w:val="86"/>
    <w:family w:val="auto"/>
    <w:pitch w:val="default"/>
    <w:sig w:usb0="00000000" w:usb1="00000000" w:usb2="00000000" w:usb3="00000000" w:csb0="00040000" w:csb1="00000000"/>
    <w:embedRegular r:id="rId8" w:fontKey="{AEA32B80-C90F-4EE0-81C0-3A23FCF1BA8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0FE1"/>
    <w:multiLevelType w:val="singleLevel"/>
    <w:tmpl w:val="DEF60FE1"/>
    <w:lvl w:ilvl="0" w:tentative="0">
      <w:start w:val="1"/>
      <w:numFmt w:val="decimal"/>
      <w:suff w:val="nothing"/>
      <w:lvlText w:val="（%1）"/>
      <w:lvlJc w:val="left"/>
    </w:lvl>
  </w:abstractNum>
  <w:abstractNum w:abstractNumId="1">
    <w:nsid w:val="E83853AE"/>
    <w:multiLevelType w:val="singleLevel"/>
    <w:tmpl w:val="E83853AE"/>
    <w:lvl w:ilvl="0" w:tentative="0">
      <w:start w:val="2"/>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7397B77"/>
    <w:rsid w:val="09C0362A"/>
    <w:rsid w:val="12627C3D"/>
    <w:rsid w:val="13471461"/>
    <w:rsid w:val="13B90F01"/>
    <w:rsid w:val="181066D2"/>
    <w:rsid w:val="1C671E73"/>
    <w:rsid w:val="1E6B6750"/>
    <w:rsid w:val="232C1683"/>
    <w:rsid w:val="29C235A5"/>
    <w:rsid w:val="335941C2"/>
    <w:rsid w:val="35E927E0"/>
    <w:rsid w:val="38CA40DD"/>
    <w:rsid w:val="395F2B56"/>
    <w:rsid w:val="3BECE841"/>
    <w:rsid w:val="3FF7797D"/>
    <w:rsid w:val="45DC5F6E"/>
    <w:rsid w:val="5BC63B4D"/>
    <w:rsid w:val="5BFF6039"/>
    <w:rsid w:val="5D76A616"/>
    <w:rsid w:val="5D7F20B9"/>
    <w:rsid w:val="5DAC7D0E"/>
    <w:rsid w:val="5F98B5AF"/>
    <w:rsid w:val="5FFE8511"/>
    <w:rsid w:val="5FFEACE2"/>
    <w:rsid w:val="643EE26D"/>
    <w:rsid w:val="685B7F92"/>
    <w:rsid w:val="6F5C41AC"/>
    <w:rsid w:val="6FAF6C78"/>
    <w:rsid w:val="7317C656"/>
    <w:rsid w:val="734ED73F"/>
    <w:rsid w:val="744C2EBA"/>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9204</Words>
  <Characters>9554</Characters>
  <Lines>58</Lines>
  <Paragraphs>16</Paragraphs>
  <TotalTime>1</TotalTime>
  <ScaleCrop>false</ScaleCrop>
  <LinksUpToDate>false</LinksUpToDate>
  <CharactersWithSpaces>9587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看剑</cp:lastModifiedBy>
  <dcterms:modified xsi:type="dcterms:W3CDTF">2023-04-10T10:17:00Z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DEB37354E36D40D48F20A3DAB18895C3</vt:lpwstr>
  </property>
</Properties>
</file>