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华文中宋"/>
          <w:b/>
          <w:kern w:val="0"/>
          <w:sz w:val="52"/>
          <w:szCs w:val="52"/>
        </w:rPr>
      </w:pPr>
    </w:p>
    <w:p>
      <w:pPr>
        <w:spacing w:line="540" w:lineRule="exact"/>
        <w:rPr>
          <w:rFonts w:eastAsia="华文中宋"/>
          <w:b/>
          <w:kern w:val="0"/>
          <w:sz w:val="52"/>
          <w:szCs w:val="52"/>
        </w:rPr>
      </w:pPr>
    </w:p>
    <w:p>
      <w:pPr>
        <w:spacing w:line="540" w:lineRule="exact"/>
        <w:jc w:val="center"/>
        <w:rPr>
          <w:rFonts w:eastAsia="华文中宋"/>
          <w:b/>
          <w:kern w:val="0"/>
          <w:sz w:val="52"/>
          <w:szCs w:val="52"/>
        </w:rPr>
      </w:pPr>
    </w:p>
    <w:p>
      <w:pPr>
        <w:spacing w:line="540" w:lineRule="exact"/>
        <w:jc w:val="center"/>
        <w:rPr>
          <w:rFonts w:eastAsia="华文中宋"/>
          <w:b/>
          <w:kern w:val="0"/>
          <w:sz w:val="52"/>
          <w:szCs w:val="52"/>
        </w:rPr>
      </w:pPr>
    </w:p>
    <w:p>
      <w:pPr>
        <w:spacing w:line="540" w:lineRule="exact"/>
        <w:jc w:val="center"/>
        <w:rPr>
          <w:rFonts w:eastAsia="方正小标宋_GBK"/>
          <w:kern w:val="0"/>
          <w:sz w:val="48"/>
          <w:szCs w:val="48"/>
        </w:rPr>
      </w:pPr>
      <w:r>
        <w:rPr>
          <w:rFonts w:hint="eastAsia" w:eastAsia="方正小标宋_GBK"/>
          <w:kern w:val="0"/>
          <w:sz w:val="48"/>
          <w:szCs w:val="48"/>
          <w:lang w:val="en-US" w:eastAsia="zh-CN"/>
        </w:rPr>
        <w:t>新疆艺术剧院歌剧团</w:t>
      </w:r>
      <w:r>
        <w:rPr>
          <w:rFonts w:hint="eastAsia" w:eastAsia="方正小标宋_GBK"/>
          <w:kern w:val="0"/>
          <w:sz w:val="48"/>
          <w:szCs w:val="48"/>
        </w:rPr>
        <w:t>自治区本级政府购买演出</w:t>
      </w:r>
      <w:r>
        <w:rPr>
          <w:rFonts w:eastAsia="方正小标宋_GBK"/>
          <w:kern w:val="0"/>
          <w:sz w:val="48"/>
          <w:szCs w:val="48"/>
        </w:rPr>
        <w:t>资金项目支出绩效评价</w:t>
      </w:r>
    </w:p>
    <w:p>
      <w:pPr>
        <w:spacing w:line="540" w:lineRule="exact"/>
        <w:jc w:val="center"/>
        <w:rPr>
          <w:rFonts w:eastAsia="方正小标宋_GBK"/>
          <w:kern w:val="0"/>
          <w:sz w:val="48"/>
          <w:szCs w:val="48"/>
        </w:rPr>
      </w:pPr>
      <w:r>
        <w:rPr>
          <w:rFonts w:eastAsia="方正小标宋_GBK"/>
          <w:kern w:val="0"/>
          <w:sz w:val="48"/>
          <w:szCs w:val="48"/>
        </w:rPr>
        <w:t>报告</w:t>
      </w:r>
    </w:p>
    <w:p>
      <w:pPr>
        <w:spacing w:line="540" w:lineRule="exact"/>
        <w:jc w:val="center"/>
        <w:rPr>
          <w:rFonts w:eastAsia="华文中宋"/>
          <w:b/>
          <w:kern w:val="0"/>
          <w:sz w:val="52"/>
          <w:szCs w:val="52"/>
        </w:rPr>
      </w:pPr>
    </w:p>
    <w:p>
      <w:pPr>
        <w:spacing w:line="540" w:lineRule="exact"/>
        <w:jc w:val="center"/>
        <w:rPr>
          <w:rFonts w:eastAsia="仿宋_GB2312"/>
          <w:kern w:val="0"/>
          <w:sz w:val="36"/>
          <w:szCs w:val="36"/>
        </w:rPr>
      </w:pPr>
      <w:r>
        <w:rPr>
          <w:rFonts w:eastAsia="仿宋_GB2312"/>
          <w:kern w:val="0"/>
          <w:sz w:val="36"/>
          <w:szCs w:val="36"/>
        </w:rPr>
        <w:t>（ 2022年度）</w:t>
      </w:r>
    </w:p>
    <w:p>
      <w:pPr>
        <w:spacing w:line="540" w:lineRule="exact"/>
        <w:jc w:val="center"/>
        <w:rPr>
          <w:rFonts w:eastAsia="仿宋_GB2312"/>
          <w:kern w:val="0"/>
          <w:sz w:val="30"/>
          <w:szCs w:val="30"/>
        </w:rPr>
      </w:pPr>
    </w:p>
    <w:p>
      <w:pPr>
        <w:spacing w:line="540" w:lineRule="exact"/>
        <w:jc w:val="center"/>
        <w:rPr>
          <w:rFonts w:eastAsia="仿宋_GB2312"/>
          <w:kern w:val="0"/>
          <w:sz w:val="30"/>
          <w:szCs w:val="30"/>
        </w:rPr>
      </w:pPr>
    </w:p>
    <w:p>
      <w:pPr>
        <w:spacing w:line="540" w:lineRule="exact"/>
        <w:jc w:val="center"/>
        <w:rPr>
          <w:rFonts w:eastAsia="仿宋_GB2312"/>
          <w:kern w:val="0"/>
          <w:sz w:val="30"/>
          <w:szCs w:val="30"/>
        </w:rPr>
      </w:pPr>
    </w:p>
    <w:p>
      <w:pPr>
        <w:pStyle w:val="2"/>
      </w:pPr>
    </w:p>
    <w:p>
      <w:pPr>
        <w:spacing w:line="540" w:lineRule="exact"/>
        <w:jc w:val="center"/>
        <w:rPr>
          <w:rFonts w:eastAsia="仿宋_GB2312"/>
          <w:kern w:val="0"/>
          <w:sz w:val="30"/>
          <w:szCs w:val="30"/>
        </w:rPr>
      </w:pPr>
    </w:p>
    <w:p>
      <w:pPr>
        <w:spacing w:line="540" w:lineRule="exact"/>
        <w:rPr>
          <w:rFonts w:eastAsia="仿宋_GB2312"/>
          <w:kern w:val="0"/>
          <w:sz w:val="30"/>
          <w:szCs w:val="30"/>
        </w:rPr>
      </w:pPr>
    </w:p>
    <w:p>
      <w:pPr>
        <w:spacing w:line="700" w:lineRule="exact"/>
        <w:ind w:firstLine="1440" w:firstLineChars="400"/>
        <w:jc w:val="left"/>
        <w:rPr>
          <w:rFonts w:eastAsia="仿宋_GB2312"/>
          <w:kern w:val="0"/>
          <w:sz w:val="36"/>
          <w:szCs w:val="36"/>
        </w:rPr>
      </w:pPr>
      <w:r>
        <w:rPr>
          <w:rFonts w:eastAsia="仿宋_GB2312"/>
          <w:kern w:val="0"/>
          <w:sz w:val="36"/>
          <w:szCs w:val="36"/>
        </w:rPr>
        <w:t>项目名称：</w:t>
      </w:r>
      <w:r>
        <w:rPr>
          <w:rFonts w:hint="eastAsia" w:eastAsia="仿宋_GB2312"/>
          <w:kern w:val="0"/>
          <w:sz w:val="36"/>
          <w:szCs w:val="36"/>
        </w:rPr>
        <w:t>自治区本级政府购买演出</w:t>
      </w:r>
    </w:p>
    <w:p>
      <w:pPr>
        <w:spacing w:line="700" w:lineRule="exact"/>
        <w:ind w:firstLine="1440" w:firstLineChars="400"/>
        <w:jc w:val="left"/>
        <w:rPr>
          <w:rFonts w:hint="default" w:eastAsia="仿宋_GB2312"/>
          <w:kern w:val="0"/>
          <w:sz w:val="36"/>
          <w:szCs w:val="36"/>
          <w:lang w:val="en-US" w:eastAsia="zh-CN"/>
        </w:rPr>
      </w:pPr>
      <w:r>
        <w:rPr>
          <w:rFonts w:eastAsia="仿宋_GB2312"/>
          <w:kern w:val="0"/>
          <w:sz w:val="36"/>
          <w:szCs w:val="36"/>
        </w:rPr>
        <w:t>实施单位（公章）：</w:t>
      </w:r>
      <w:r>
        <w:rPr>
          <w:rFonts w:hint="eastAsia" w:eastAsia="仿宋_GB2312"/>
          <w:kern w:val="0"/>
          <w:sz w:val="36"/>
          <w:szCs w:val="36"/>
          <w:lang w:val="en-US" w:eastAsia="zh-CN"/>
        </w:rPr>
        <w:t>新疆艺术剧院歌剧团</w:t>
      </w:r>
    </w:p>
    <w:p>
      <w:pPr>
        <w:spacing w:line="700" w:lineRule="exact"/>
        <w:ind w:firstLine="1440" w:firstLineChars="400"/>
        <w:jc w:val="left"/>
        <w:rPr>
          <w:rFonts w:hint="default" w:eastAsia="仿宋_GB2312"/>
          <w:kern w:val="0"/>
          <w:sz w:val="36"/>
          <w:szCs w:val="36"/>
          <w:lang w:val="en-US" w:eastAsia="zh-CN"/>
        </w:rPr>
      </w:pPr>
      <w:r>
        <w:rPr>
          <w:rFonts w:eastAsia="仿宋_GB2312"/>
          <w:kern w:val="0"/>
          <w:sz w:val="36"/>
          <w:szCs w:val="36"/>
        </w:rPr>
        <w:t>主管部门（公章）：</w:t>
      </w:r>
      <w:r>
        <w:rPr>
          <w:rFonts w:hint="eastAsia" w:eastAsia="仿宋_GB2312"/>
          <w:kern w:val="0"/>
          <w:sz w:val="36"/>
          <w:szCs w:val="36"/>
          <w:lang w:val="en-US" w:eastAsia="zh-CN"/>
        </w:rPr>
        <w:t>自治区文化和旅游厅</w:t>
      </w:r>
    </w:p>
    <w:p>
      <w:pPr>
        <w:spacing w:line="700" w:lineRule="exact"/>
        <w:ind w:firstLine="1440" w:firstLineChars="400"/>
        <w:jc w:val="left"/>
        <w:rPr>
          <w:rFonts w:hint="default" w:eastAsia="仿宋_GB2312"/>
          <w:kern w:val="0"/>
          <w:sz w:val="36"/>
          <w:szCs w:val="36"/>
          <w:lang w:val="en-US" w:eastAsia="zh-CN"/>
        </w:rPr>
      </w:pPr>
      <w:r>
        <w:rPr>
          <w:rFonts w:eastAsia="仿宋_GB2312"/>
          <w:kern w:val="0"/>
          <w:sz w:val="36"/>
          <w:szCs w:val="36"/>
        </w:rPr>
        <w:t>项目负责人（签章）：</w:t>
      </w:r>
      <w:r>
        <w:rPr>
          <w:rFonts w:hint="eastAsia" w:eastAsia="仿宋_GB2312"/>
          <w:kern w:val="0"/>
          <w:sz w:val="36"/>
          <w:szCs w:val="36"/>
          <w:lang w:val="en-US" w:eastAsia="zh-CN"/>
        </w:rPr>
        <w:t>吐尔洪·依明</w:t>
      </w:r>
    </w:p>
    <w:p>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lang w:val="en-US" w:eastAsia="zh-CN"/>
        </w:rPr>
        <w:t>2023</w:t>
      </w:r>
      <w:r>
        <w:rPr>
          <w:rFonts w:eastAsia="仿宋_GB2312"/>
          <w:kern w:val="0"/>
          <w:sz w:val="36"/>
          <w:szCs w:val="36"/>
        </w:rPr>
        <w:t>年</w:t>
      </w:r>
      <w:r>
        <w:rPr>
          <w:rFonts w:hint="eastAsia" w:eastAsia="仿宋_GB2312"/>
          <w:kern w:val="0"/>
          <w:sz w:val="36"/>
          <w:szCs w:val="36"/>
          <w:lang w:val="en-US" w:eastAsia="zh-CN"/>
        </w:rPr>
        <w:t>4</w:t>
      </w:r>
      <w:r>
        <w:rPr>
          <w:rFonts w:eastAsia="仿宋_GB2312"/>
          <w:kern w:val="0"/>
          <w:sz w:val="36"/>
          <w:szCs w:val="36"/>
        </w:rPr>
        <w:t>月</w:t>
      </w:r>
      <w:r>
        <w:rPr>
          <w:rFonts w:hint="eastAsia" w:eastAsia="仿宋_GB2312"/>
          <w:kern w:val="0"/>
          <w:sz w:val="36"/>
          <w:szCs w:val="36"/>
          <w:lang w:val="en-US" w:eastAsia="zh-CN"/>
        </w:rPr>
        <w:t>7</w:t>
      </w:r>
      <w:r>
        <w:rPr>
          <w:rFonts w:eastAsia="仿宋_GB2312"/>
          <w:kern w:val="0"/>
          <w:sz w:val="36"/>
          <w:szCs w:val="36"/>
        </w:rPr>
        <w:t>日</w:t>
      </w:r>
    </w:p>
    <w:p>
      <w:pPr>
        <w:spacing w:line="540" w:lineRule="exact"/>
        <w:jc w:val="center"/>
        <w:rPr>
          <w:rFonts w:eastAsia="仿宋_GB2312"/>
          <w:kern w:val="0"/>
          <w:sz w:val="30"/>
          <w:szCs w:val="30"/>
        </w:rPr>
      </w:pPr>
    </w:p>
    <w:p>
      <w:pPr>
        <w:spacing w:line="540" w:lineRule="exact"/>
        <w:rPr>
          <w:rStyle w:val="15"/>
          <w:rFonts w:eastAsia="黑体"/>
          <w:b w:val="0"/>
          <w:spacing w:val="-4"/>
          <w:sz w:val="32"/>
          <w:szCs w:val="32"/>
        </w:rPr>
      </w:pPr>
    </w:p>
    <w:p>
      <w:pPr>
        <w:spacing w:line="540" w:lineRule="exact"/>
        <w:ind w:firstLine="640"/>
        <w:rPr>
          <w:rStyle w:val="15"/>
          <w:rFonts w:eastAsia="黑体"/>
          <w:b w:val="0"/>
          <w:spacing w:val="-4"/>
          <w:sz w:val="32"/>
          <w:szCs w:val="32"/>
        </w:rPr>
      </w:pPr>
    </w:p>
    <w:p>
      <w:pPr>
        <w:spacing w:line="560" w:lineRule="exact"/>
        <w:rPr>
          <w:rFonts w:eastAsia="黑体"/>
          <w:bCs/>
          <w:sz w:val="32"/>
          <w:szCs w:val="32"/>
        </w:rPr>
        <w:sectPr>
          <w:footerReference r:id="rId3" w:type="default"/>
          <w:pgSz w:w="11906" w:h="16838"/>
          <w:pgMar w:top="1440" w:right="1558" w:bottom="1440" w:left="1800" w:header="851" w:footer="992" w:gutter="0"/>
          <w:cols w:space="425" w:num="1"/>
          <w:docGrid w:type="lines" w:linePitch="312" w:charSpace="0"/>
        </w:sectPr>
      </w:pPr>
    </w:p>
    <w:p>
      <w:pPr>
        <w:spacing w:line="560" w:lineRule="exact"/>
        <w:ind w:firstLine="640" w:firstLineChars="200"/>
        <w:rPr>
          <w:rFonts w:eastAsia="黑体"/>
          <w:bCs/>
          <w:sz w:val="32"/>
          <w:szCs w:val="32"/>
        </w:rPr>
      </w:pPr>
      <w:r>
        <w:rPr>
          <w:rFonts w:eastAsia="黑体"/>
          <w:bCs/>
          <w:sz w:val="32"/>
          <w:szCs w:val="32"/>
        </w:rPr>
        <w:t>一、基本情况</w:t>
      </w:r>
    </w:p>
    <w:p>
      <w:pPr>
        <w:spacing w:line="560" w:lineRule="exact"/>
        <w:ind w:firstLine="643" w:firstLineChars="200"/>
        <w:rPr>
          <w:rFonts w:eastAsia="楷体_GB2312"/>
          <w:b/>
          <w:bCs/>
          <w:sz w:val="32"/>
          <w:szCs w:val="32"/>
        </w:rPr>
      </w:pPr>
      <w:r>
        <w:rPr>
          <w:rFonts w:eastAsia="楷体_GB2312"/>
          <w:b/>
          <w:bCs/>
          <w:sz w:val="32"/>
          <w:szCs w:val="32"/>
        </w:rPr>
        <w:t>（一）项目概况</w:t>
      </w:r>
    </w:p>
    <w:p>
      <w:pPr>
        <w:spacing w:line="560" w:lineRule="exact"/>
        <w:ind w:firstLine="643" w:firstLineChars="200"/>
        <w:rPr>
          <w:rFonts w:eastAsia="仿宋_GB2312"/>
          <w:b/>
          <w:bCs/>
          <w:sz w:val="32"/>
          <w:szCs w:val="32"/>
        </w:rPr>
      </w:pPr>
      <w:r>
        <w:rPr>
          <w:rFonts w:eastAsia="仿宋_GB2312"/>
          <w:b/>
          <w:bCs/>
          <w:sz w:val="32"/>
          <w:szCs w:val="32"/>
        </w:rPr>
        <w:t>1、项目背景</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（1）项目实施的政策背景</w:t>
      </w:r>
    </w:p>
    <w:p>
      <w:pPr>
        <w:spacing w:line="600" w:lineRule="exact"/>
        <w:ind w:firstLine="641"/>
        <w:rPr>
          <w:rFonts w:hint="eastAsia" w:ascii="仿宋_GB2312" w:hAnsi="仿宋_GB2312" w:eastAsia="仿宋_GB2312" w:cs="仿宋_GB2312"/>
          <w:sz w:val="32"/>
          <w:szCs w:val="32"/>
        </w:rPr>
      </w:pPr>
      <w:bookmarkStart w:id="0" w:name="_Toc5157"/>
      <w:r>
        <w:rPr>
          <w:rFonts w:hint="eastAsia" w:ascii="仿宋_GB2312" w:eastAsia="仿宋_GB2312" w:cs="仿宋_GB2312"/>
          <w:sz w:val="32"/>
          <w:szCs w:val="32"/>
          <w:lang w:val="zh-CN"/>
        </w:rPr>
        <w:t>严格按照</w:t>
      </w:r>
      <w:r>
        <w:rPr>
          <w:rFonts w:ascii="仿宋_GB2312" w:eastAsia="仿宋_GB2312" w:cs="仿宋_GB2312"/>
          <w:sz w:val="32"/>
          <w:szCs w:val="32"/>
          <w:lang w:val="zh-CN"/>
        </w:rPr>
        <w:t>《关于印发〈新疆维吾尔自治区</w:t>
      </w:r>
      <w:r>
        <w:rPr>
          <w:rFonts w:hint="eastAsia" w:ascii="仿宋_GB2312" w:eastAsia="仿宋_GB2312" w:cs="仿宋_GB2312"/>
          <w:sz w:val="32"/>
          <w:szCs w:val="32"/>
          <w:lang w:val="zh-CN"/>
        </w:rPr>
        <w:t>区级文艺院团政府购买演出暂行</w:t>
      </w:r>
      <w:r>
        <w:rPr>
          <w:rFonts w:ascii="仿宋_GB2312" w:eastAsia="仿宋_GB2312" w:cs="仿宋_GB2312"/>
          <w:sz w:val="32"/>
          <w:szCs w:val="32"/>
          <w:lang w:val="zh-CN"/>
        </w:rPr>
        <w:t>办法〉的通知》</w:t>
      </w:r>
      <w:r>
        <w:rPr>
          <w:rFonts w:hint="eastAsia" w:ascii="仿宋_GB2312" w:eastAsia="仿宋_GB2312" w:cs="仿宋_GB2312"/>
          <w:sz w:val="32"/>
          <w:szCs w:val="32"/>
          <w:lang w:val="zh-CN"/>
        </w:rPr>
        <w:t>，</w:t>
      </w:r>
      <w:r>
        <w:rPr>
          <w:rFonts w:hint="eastAsia" w:ascii="仿宋_GB2312" w:hAnsi="仿宋_GB2312" w:eastAsia="仿宋_GB2312" w:cs="仿宋_GB2312"/>
          <w:sz w:val="32"/>
          <w:szCs w:val="32"/>
        </w:rPr>
        <w:t>全面建成小康社会等重要时间节点，有侧重地推出一批弘扬爱国主义精神的精品力作，书写写新中国成立后，在中国共产党领导下，新疆各族人民在维护祖国统一、实现国家富强、民族团结的伟大征程中取得的辉煌成就。 以习近平总书记在第三次中央新疆工作座谈会精神为指引，坚持文化润疆，</w:t>
      </w:r>
      <w:r>
        <w:rPr>
          <w:rFonts w:hint="eastAsia" w:ascii="仿宋_GB2312" w:eastAsia="仿宋_GB2312"/>
          <w:sz w:val="32"/>
          <w:szCs w:val="32"/>
        </w:rPr>
        <w:t>进一步</w:t>
      </w:r>
      <w:r>
        <w:rPr>
          <w:rFonts w:ascii="仿宋_GB2312" w:eastAsia="仿宋_GB2312"/>
          <w:sz w:val="32"/>
          <w:szCs w:val="32"/>
        </w:rPr>
        <w:t>推进</w:t>
      </w:r>
      <w:r>
        <w:rPr>
          <w:rFonts w:hint="eastAsia" w:ascii="仿宋_GB2312" w:eastAsia="仿宋_GB2312"/>
          <w:sz w:val="32"/>
          <w:szCs w:val="32"/>
        </w:rPr>
        <w:t>自治区级文艺院团体制机制创新，理顺院团经费保障渠道，保证院团演出活动的正常运转，调动演职人员的积极性，提高演出质量，增强公共文化服务能力，</w:t>
      </w:r>
      <w:r>
        <w:rPr>
          <w:rFonts w:hint="eastAsia" w:ascii="仿宋_GB2312" w:hAnsi="仿宋_GB2312" w:eastAsia="仿宋_GB2312" w:cs="仿宋_GB2312"/>
          <w:sz w:val="32"/>
          <w:szCs w:val="32"/>
        </w:rPr>
        <w:t>用优秀的舞台艺术作品以文化人、以文育人，铸牢中华民族共同体意识，建设各民族共有精神家园。</w:t>
      </w:r>
    </w:p>
    <w:p>
      <w:pPr>
        <w:pStyle w:val="2"/>
        <w:numPr>
          <w:ilvl w:val="0"/>
          <w:numId w:val="1"/>
        </w:numPr>
        <w:ind w:firstLine="640" w:firstLineChars="200"/>
        <w:jc w:val="both"/>
        <w:outlineLvl w:val="9"/>
        <w:rPr>
          <w:rFonts w:ascii="仿宋_GB2312" w:hAnsi="仿宋_GB2312" w:eastAsia="仿宋_GB2312" w:cs="仿宋_GB2312"/>
          <w:b w:val="0"/>
          <w:bCs w:val="0"/>
          <w:kern w:val="0"/>
        </w:rPr>
      </w:pPr>
      <w:r>
        <w:rPr>
          <w:rFonts w:hint="eastAsia" w:ascii="仿宋_GB2312" w:hAnsi="仿宋_GB2312" w:eastAsia="仿宋_GB2312" w:cs="仿宋_GB2312"/>
          <w:b w:val="0"/>
          <w:bCs w:val="0"/>
          <w:kern w:val="0"/>
        </w:rPr>
        <w:t>项目实施的历史概况</w:t>
      </w:r>
      <w:bookmarkEnd w:id="0"/>
    </w:p>
    <w:p>
      <w:pPr>
        <w:spacing w:line="560" w:lineRule="exact"/>
        <w:ind w:firstLine="640" w:firstLineChars="200"/>
        <w:rPr>
          <w:rStyle w:val="15"/>
          <w:rFonts w:hint="eastAsia" w:eastAsia="黑体"/>
          <w:b w:val="0"/>
          <w:bCs/>
          <w:spacing w:val="-4"/>
          <w:sz w:val="32"/>
          <w:szCs w:val="32"/>
          <w:highlight w:val="yellow"/>
          <w:lang w:eastAsia="zh-CN"/>
        </w:rPr>
      </w:pPr>
      <w:r>
        <w:rPr>
          <w:rFonts w:hint="eastAsia" w:ascii="仿宋_GB2312" w:hAnsi="仿宋_GB2312" w:eastAsia="仿宋_GB2312" w:cs="仿宋_GB2312"/>
          <w:sz w:val="32"/>
          <w:szCs w:val="32"/>
        </w:rPr>
        <w:t>以习近平总书记在第三次中央新疆工作座谈会精神为指引，坚持文化润疆，用优秀的舞台艺术作品以文化人、以文育人，铸牢中华民族共同体意识，建设各民族共有精神家园。</w:t>
      </w:r>
      <w:r>
        <w:rPr>
          <w:rFonts w:hint="eastAsia" w:eastAsia="仿宋_GB2312"/>
          <w:sz w:val="32"/>
          <w:szCs w:val="32"/>
        </w:rPr>
        <w:t>政府购买演出补助资金优先用于自治区级文艺院团在职人员绩效工资发放和缴纳基本养老保险、职业年金、为了满足艺术生产工作顺利开展以此保障。</w:t>
      </w:r>
    </w:p>
    <w:p>
      <w:pPr>
        <w:pStyle w:val="2"/>
        <w:numPr>
          <w:ilvl w:val="0"/>
          <w:numId w:val="2"/>
        </w:numPr>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项目主要内容：</w:t>
      </w:r>
    </w:p>
    <w:p>
      <w:pPr>
        <w:spacing w:line="540" w:lineRule="exact"/>
        <w:ind w:firstLine="579" w:firstLineChars="18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项目主要内容：政府购买演出资金用于弥补在职人员津补贴、社保费；聘用演员劳务费。</w:t>
      </w:r>
    </w:p>
    <w:p>
      <w:pPr>
        <w:spacing w:line="540" w:lineRule="exact"/>
        <w:ind w:firstLine="579" w:firstLineChars="181"/>
      </w:pPr>
      <w:r>
        <w:rPr>
          <w:rFonts w:hint="eastAsia" w:ascii="仿宋_GB2312" w:hAnsi="仿宋_GB2312" w:eastAsia="仿宋_GB2312" w:cs="仿宋_GB2312"/>
          <w:sz w:val="32"/>
          <w:szCs w:val="32"/>
        </w:rPr>
        <w:t>项目实施情况：项目目前已经完成实际设立的目标，项目在实施过程中严格按照目标设立的各阶段任务进行开展工作，在前期立项过程中严格把质量关，建立安全防护机制，保证项目实施各阶段安全顺利进行。本项目总投资</w:t>
      </w:r>
      <w:r>
        <w:rPr>
          <w:rFonts w:hint="eastAsia" w:ascii="仿宋_GB2312" w:hAnsi="仿宋_GB2312" w:eastAsia="仿宋_GB2312" w:cs="仿宋_GB2312"/>
          <w:sz w:val="32"/>
          <w:szCs w:val="32"/>
          <w:lang w:val="en-US" w:eastAsia="zh-CN"/>
        </w:rPr>
        <w:t>260</w:t>
      </w:r>
      <w:r>
        <w:rPr>
          <w:rFonts w:hint="eastAsia" w:ascii="仿宋_GB2312" w:hAnsi="仿宋_GB2312" w:eastAsia="仿宋_GB2312" w:cs="仿宋_GB2312"/>
          <w:sz w:val="32"/>
          <w:szCs w:val="32"/>
        </w:rPr>
        <w:t>万元，其中：财政本级资金</w:t>
      </w:r>
      <w:r>
        <w:rPr>
          <w:rFonts w:hint="eastAsia" w:ascii="仿宋_GB2312" w:hAnsi="仿宋_GB2312" w:eastAsia="仿宋_GB2312" w:cs="仿宋_GB2312"/>
          <w:sz w:val="32"/>
          <w:szCs w:val="32"/>
          <w:lang w:val="en-US" w:eastAsia="zh-CN"/>
        </w:rPr>
        <w:t>260</w:t>
      </w:r>
      <w:r>
        <w:rPr>
          <w:rFonts w:hint="eastAsia" w:ascii="仿宋_GB2312" w:hAnsi="仿宋_GB2312" w:eastAsia="仿宋_GB2312" w:cs="仿宋_GB2312"/>
          <w:sz w:val="32"/>
          <w:szCs w:val="32"/>
        </w:rPr>
        <w:t>万元。项目实际支出</w:t>
      </w:r>
      <w:r>
        <w:rPr>
          <w:rFonts w:hint="eastAsia" w:ascii="仿宋_GB2312" w:hAnsi="仿宋_GB2312" w:eastAsia="仿宋_GB2312" w:cs="仿宋_GB2312"/>
          <w:sz w:val="32"/>
          <w:szCs w:val="32"/>
          <w:lang w:val="en-US" w:eastAsia="zh-CN"/>
        </w:rPr>
        <w:t>260</w:t>
      </w:r>
      <w:r>
        <w:rPr>
          <w:rFonts w:hint="eastAsia" w:ascii="仿宋_GB2312" w:hAnsi="仿宋_GB2312" w:eastAsia="仿宋_GB2312" w:cs="仿宋_GB2312"/>
          <w:sz w:val="32"/>
          <w:szCs w:val="32"/>
        </w:rPr>
        <w:t>万元，支出率为100%。</w:t>
      </w:r>
    </w:p>
    <w:p>
      <w:pPr>
        <w:spacing w:line="560" w:lineRule="exact"/>
        <w:ind w:firstLine="643" w:firstLineChars="200"/>
        <w:rPr>
          <w:rFonts w:eastAsia="仿宋_GB2312"/>
          <w:b/>
          <w:bCs/>
          <w:sz w:val="32"/>
          <w:szCs w:val="32"/>
        </w:rPr>
      </w:pPr>
      <w:r>
        <w:rPr>
          <w:rFonts w:eastAsia="仿宋_GB2312"/>
          <w:b/>
          <w:bCs/>
          <w:sz w:val="32"/>
          <w:szCs w:val="32"/>
        </w:rPr>
        <w:t>3、资金投入和使用情况</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（1）资金投入情况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该项目年初预算数260万元，全年预算数260万元，实际总投入260万元，该项目资金已全部落实到位，资金来源为新财教【2016】238号文件中批复的资金，项目资金到位260万元。</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（2）资金使用情况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该项目年初预算数260万元，全年预算数260万元,，全年执行数260万元，预算执行率为100%，主要用于：</w:t>
      </w:r>
      <w:r>
        <w:rPr>
          <w:rFonts w:hint="eastAsia" w:ascii="仿宋_GB2312" w:hAnsi="仿宋_GB2312" w:eastAsia="仿宋_GB2312" w:cs="仿宋_GB2312"/>
          <w:b w:val="0"/>
          <w:bCs w:val="0"/>
          <w:kern w:val="2"/>
          <w:sz w:val="32"/>
          <w:szCs w:val="32"/>
          <w:lang w:val="en-US" w:eastAsia="zh-CN" w:bidi="ar-SA"/>
        </w:rPr>
        <w:t>政府购买演出资金用于弥补在职人员津补贴、社保费；聘用演员劳务费</w:t>
      </w:r>
      <w:r>
        <w:rPr>
          <w:rFonts w:hint="eastAsia" w:ascii="仿宋_GB2312" w:hAnsi="仿宋_GB2312" w:eastAsia="仿宋_GB2312" w:cs="仿宋_GB2312"/>
          <w:sz w:val="32"/>
          <w:szCs w:val="32"/>
          <w:highlight w:val="none"/>
          <w:lang w:val="en-US" w:eastAsia="zh-CN"/>
        </w:rPr>
        <w:t>。</w:t>
      </w:r>
    </w:p>
    <w:p>
      <w:pPr>
        <w:spacing w:line="560" w:lineRule="exact"/>
        <w:ind w:firstLine="643" w:firstLineChars="200"/>
        <w:rPr>
          <w:rFonts w:eastAsia="楷体_GB2312"/>
          <w:b/>
          <w:bCs/>
          <w:sz w:val="32"/>
          <w:szCs w:val="32"/>
        </w:rPr>
      </w:pPr>
      <w:r>
        <w:rPr>
          <w:rFonts w:eastAsia="楷体_GB2312"/>
          <w:b/>
          <w:bCs/>
          <w:sz w:val="32"/>
          <w:szCs w:val="32"/>
        </w:rPr>
        <w:t>（二）项目绩效目标</w:t>
      </w:r>
    </w:p>
    <w:p>
      <w:pPr>
        <w:spacing w:line="560" w:lineRule="exact"/>
        <w:ind w:firstLine="640" w:firstLineChars="200"/>
        <w:rPr>
          <w:rFonts w:hint="eastAsia" w:eastAsia="仿宋_GB2312"/>
          <w:sz w:val="32"/>
          <w:szCs w:val="32"/>
        </w:rPr>
      </w:pPr>
      <w:r>
        <w:rPr>
          <w:rFonts w:eastAsia="仿宋_GB2312"/>
          <w:sz w:val="32"/>
          <w:szCs w:val="32"/>
        </w:rPr>
        <w:t>1、总体目标</w:t>
      </w:r>
      <w:r>
        <w:rPr>
          <w:rFonts w:hint="eastAsia" w:eastAsia="仿宋_GB2312"/>
          <w:sz w:val="32"/>
          <w:szCs w:val="32"/>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积极性，提升演出质量，增强公共文化服务能力，自治区建立区级文艺院团政府购买演出机制。政府购买演出补助资金优先用于自治区级文艺院团在职人员绩效工资发放和缴纳基本养老保险、职业年金、为了满足艺术生产工作顺利开展以此保障。</w:t>
      </w:r>
    </w:p>
    <w:p>
      <w:pPr>
        <w:spacing w:line="560" w:lineRule="exact"/>
        <w:ind w:firstLine="640" w:firstLineChars="200"/>
        <w:rPr>
          <w:rFonts w:hint="eastAsia" w:eastAsia="仿宋_GB2312"/>
          <w:sz w:val="32"/>
          <w:szCs w:val="32"/>
          <w:lang w:val="en-US" w:eastAsia="zh-CN"/>
        </w:rPr>
      </w:pPr>
      <w:r>
        <w:rPr>
          <w:rFonts w:eastAsia="仿宋_GB2312"/>
          <w:sz w:val="32"/>
          <w:szCs w:val="32"/>
        </w:rPr>
        <w:t>2、阶段性目标</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（1）前期准备：通过制定项目实施方案，经项目负责人审核通过后，有序开展后续工程。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（2）组织实施：资金一到位，立即根据项目要求实施项目。项目责任人按照方案要求逐一进行项目部署安排，提高项目质量及效率性。</w:t>
      </w:r>
    </w:p>
    <w:p>
      <w:pPr>
        <w:spacing w:line="560" w:lineRule="exact"/>
        <w:ind w:firstLine="640" w:firstLineChars="200"/>
        <w:rPr>
          <w:rFonts w:eastAsia="黑体"/>
          <w:sz w:val="32"/>
          <w:szCs w:val="32"/>
        </w:rPr>
      </w:pPr>
      <w:r>
        <w:rPr>
          <w:rFonts w:eastAsia="黑体"/>
          <w:sz w:val="32"/>
          <w:szCs w:val="32"/>
        </w:rPr>
        <w:t>二、绩效评价工作开展情况</w:t>
      </w:r>
    </w:p>
    <w:p>
      <w:pPr>
        <w:spacing w:line="560" w:lineRule="exact"/>
        <w:ind w:firstLine="643" w:firstLineChars="200"/>
        <w:rPr>
          <w:rFonts w:eastAsia="楷体_GB2312"/>
          <w:b/>
          <w:bCs/>
          <w:sz w:val="32"/>
          <w:szCs w:val="32"/>
        </w:rPr>
      </w:pPr>
      <w:r>
        <w:rPr>
          <w:rFonts w:eastAsia="楷体_GB2312"/>
          <w:b/>
          <w:bCs/>
          <w:sz w:val="32"/>
          <w:szCs w:val="32"/>
        </w:rPr>
        <w:t>（一）绩效评价目的、对象和范围</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1、绩效评价的目的</w:t>
      </w:r>
    </w:p>
    <w:p>
      <w:pPr>
        <w:pStyle w:val="18"/>
        <w:spacing w:line="560" w:lineRule="exact"/>
        <w:ind w:firstLine="640" w:firstLineChars="200"/>
        <w:rPr>
          <w:rFonts w:eastAsia="方正仿宋_GBK" w:cs="方正仿宋_GBK"/>
          <w:sz w:val="32"/>
          <w:szCs w:val="32"/>
        </w:rPr>
      </w:pPr>
      <w:r>
        <w:rPr>
          <w:rFonts w:eastAsia="仿宋_GB2312"/>
          <w:sz w:val="32"/>
          <w:szCs w:val="32"/>
        </w:rPr>
        <w:t>通过开展有效的财政支出绩效评价管理，</w:t>
      </w:r>
      <w:r>
        <w:rPr>
          <w:rFonts w:hint="eastAsia" w:eastAsia="仿宋_GB2312"/>
          <w:sz w:val="32"/>
          <w:szCs w:val="32"/>
        </w:rPr>
        <w:t>全面了解该项目预算编制合理性、资金使用合规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2、绩效评价的对象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2022年自治区本级政府购买演出经费（含特批人员费用）</w:t>
      </w:r>
      <w:r>
        <w:rPr>
          <w:rFonts w:hint="eastAsia" w:ascii="仿宋_GB2312" w:hAnsi="仿宋_GB2312" w:eastAsia="仿宋_GB2312" w:cs="仿宋_GB2312"/>
          <w:sz w:val="32"/>
          <w:szCs w:val="32"/>
        </w:rPr>
        <w:t>项目所包含的全部项目内容。</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3、绩效评价的范围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本次评价从项目决策（包括绩效目标、决策过程）、项目管理（包括项目资金、项目实施）、项目产出（包括项目产出数量、产出质量、产出时效和产出成本）项目效益四个维度对</w:t>
      </w:r>
      <w:r>
        <w:rPr>
          <w:rFonts w:hint="eastAsia" w:ascii="仿宋_GB2312" w:hAnsi="仿宋_GB2312" w:eastAsia="仿宋_GB2312" w:cs="仿宋_GB2312"/>
          <w:b w:val="0"/>
          <w:bCs w:val="0"/>
          <w:kern w:val="2"/>
          <w:sz w:val="32"/>
          <w:szCs w:val="32"/>
          <w:lang w:val="en-US" w:eastAsia="zh-CN" w:bidi="ar-SA"/>
        </w:rPr>
        <w:t>2022年自治区本级政府购买演出经费</w:t>
      </w:r>
      <w:r>
        <w:rPr>
          <w:rFonts w:hint="eastAsia" w:ascii="仿宋_GB2312" w:hAnsi="仿宋_GB2312" w:eastAsia="仿宋_GB2312" w:cs="仿宋_GB2312"/>
          <w:sz w:val="32"/>
          <w:szCs w:val="32"/>
        </w:rPr>
        <w:t>项目</w:t>
      </w:r>
      <w:r>
        <w:rPr>
          <w:rFonts w:ascii="仿宋_GB2312" w:hAnsi="仿宋_GB2312" w:eastAsia="仿宋_GB2312" w:cs="仿宋_GB2312"/>
          <w:color w:val="000000" w:themeColor="text1"/>
          <w:sz w:val="32"/>
          <w:szCs w:val="32"/>
          <w14:textFill>
            <w14:solidFill>
              <w14:schemeClr w14:val="tx1"/>
            </w14:solidFill>
          </w14:textFill>
        </w:rPr>
        <w:t>决策、过程、产出、效益等方面</w:t>
      </w:r>
      <w:r>
        <w:rPr>
          <w:rFonts w:hint="eastAsia" w:ascii="仿宋_GB2312" w:hAnsi="仿宋_GB2312" w:eastAsia="仿宋_GB2312" w:cs="仿宋_GB2312"/>
          <w:sz w:val="32"/>
          <w:szCs w:val="32"/>
        </w:rPr>
        <w:t>进行评价，评价核心为专项资金的支出完成情况和效果。</w:t>
      </w:r>
    </w:p>
    <w:p>
      <w:pPr>
        <w:spacing w:line="560" w:lineRule="exact"/>
        <w:ind w:firstLine="643" w:firstLineChars="200"/>
      </w:pPr>
      <w:r>
        <w:rPr>
          <w:rFonts w:eastAsia="楷体_GB2312"/>
          <w:b/>
          <w:bCs/>
          <w:sz w:val="32"/>
          <w:szCs w:val="32"/>
        </w:rPr>
        <w:t>（二）绩效评价原则、评价指标体系（详情见表1）、评价方法、评价标准。</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1、绩效评价原则</w:t>
      </w:r>
    </w:p>
    <w:p>
      <w:pPr>
        <w:spacing w:line="560" w:lineRule="exact"/>
        <w:ind w:firstLine="640" w:firstLineChars="200"/>
        <w:rPr>
          <w:rFonts w:eastAsia="仿宋_GB2312"/>
          <w:color w:val="000000"/>
          <w:sz w:val="32"/>
          <w:szCs w:val="32"/>
        </w:rPr>
      </w:pPr>
      <w:r>
        <w:rPr>
          <w:rFonts w:eastAsia="仿宋_GB2312"/>
          <w:color w:val="000000"/>
          <w:sz w:val="32"/>
          <w:szCs w:val="32"/>
        </w:rPr>
        <w:t>本次项目绩效评价遵循以下基本原则：</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（1）科学公正。绩效评价应当运用科学合理的方法，按照规范的程序，对项目绩效进行客观、公正的反映。</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2、评价指标体系</w:t>
      </w:r>
    </w:p>
    <w:p>
      <w:pPr>
        <w:spacing w:line="560" w:lineRule="exact"/>
        <w:ind w:firstLine="708" w:firstLineChars="200"/>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（1）确定评价指标</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（2）确定权重</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确定各个指标相对于项目总体绩效的权重分值。在绩效评价指标体系中，项目决策权重为20分，项目过程权重为20分，项目产出权重为40分，项目效益权重为20分。</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（3）确定指标标准值</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pPr>
        <w:pStyle w:val="2"/>
        <w:spacing w:before="0" w:after="0" w:line="560" w:lineRule="exact"/>
        <w:ind w:firstLine="708" w:firstLineChars="200"/>
        <w:jc w:val="both"/>
        <w:rPr>
          <w:rFonts w:ascii="Times New Roman" w:hAnsi="Times New Roman" w:eastAsia="仿宋_GB2312"/>
          <w:b w:val="0"/>
          <w:bCs w:val="0"/>
          <w:color w:val="000000"/>
          <w:spacing w:val="17"/>
          <w:kern w:val="2"/>
        </w:rPr>
      </w:pPr>
      <w:r>
        <w:rPr>
          <w:rFonts w:ascii="Times New Roman" w:hAnsi="Times New Roman" w:eastAsia="仿宋_GB2312"/>
          <w:b w:val="0"/>
          <w:bCs w:val="0"/>
          <w:color w:val="000000"/>
          <w:spacing w:val="17"/>
          <w:kern w:val="2"/>
        </w:rPr>
        <w:t>绩效评价总分值100分，根据综合评分结果，评价计分90分-100分（含90分）对应的评分结果级别为优，80-90分（含80分）对应的评分结果级别为良，60-80分（含60分）对应的评分结果级别为中，60分以下对应的评分结果级别为差。</w:t>
      </w:r>
    </w:p>
    <w:p>
      <w:pPr>
        <w:pStyle w:val="2"/>
        <w:widowControl w:val="0"/>
        <w:spacing w:before="0" w:after="0" w:line="560" w:lineRule="exact"/>
        <w:ind w:firstLine="708" w:firstLineChars="200"/>
        <w:jc w:val="both"/>
        <w:outlineLvl w:val="9"/>
        <w:rPr>
          <w:rFonts w:ascii="Times New Roman" w:hAnsi="Times New Roman" w:eastAsia="仿宋_GB2312"/>
          <w:b w:val="0"/>
          <w:bCs w:val="0"/>
          <w:color w:val="000000"/>
          <w:spacing w:val="17"/>
        </w:rPr>
      </w:pPr>
      <w:r>
        <w:rPr>
          <w:rFonts w:ascii="Times New Roman" w:hAnsi="Times New Roman" w:eastAsia="仿宋_GB2312"/>
          <w:b w:val="0"/>
          <w:bCs w:val="0"/>
          <w:color w:val="000000"/>
          <w:spacing w:val="17"/>
        </w:rPr>
        <w:t>具体评价指标体系详情见附件1</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  评价核心为资金的支出完成情况和项目的产出效益。</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（1）比较法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通过对绩效目标与实施效果、历史与当期情况，综合分析绩效目标实现程度。对</w:t>
      </w:r>
      <w:r>
        <w:rPr>
          <w:rFonts w:eastAsia="仿宋_GB2312"/>
          <w:sz w:val="32"/>
          <w:szCs w:val="32"/>
        </w:rPr>
        <w:t>项目</w:t>
      </w:r>
      <w:r>
        <w:rPr>
          <w:rFonts w:eastAsia="仿宋_GB2312"/>
          <w:color w:val="000000"/>
          <w:spacing w:val="17"/>
          <w:sz w:val="32"/>
          <w:szCs w:val="32"/>
        </w:rPr>
        <w:t>最终验收情况与年度绩效目标对比、预算资金执行情况等相关因素进行比较。</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（2）因素分析法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通过综合分析影响绩效目标实现、实施效果的内外因素，评价绩效目标实现程度。通过对</w:t>
      </w:r>
      <w:r>
        <w:rPr>
          <w:rFonts w:eastAsia="仿宋_GB2312"/>
          <w:sz w:val="32"/>
          <w:szCs w:val="32"/>
        </w:rPr>
        <w:t>项目</w:t>
      </w:r>
      <w:r>
        <w:rPr>
          <w:rFonts w:eastAsia="仿宋_GB2312"/>
          <w:color w:val="000000"/>
          <w:spacing w:val="17"/>
          <w:sz w:val="32"/>
          <w:szCs w:val="32"/>
        </w:rPr>
        <w:t>的开展情况、项目产出数量、成本控制、资金拨付文件及自评报告等相关资料的收集和审核，综合分析各因素对绩效目标实现的影响。</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4、评价标准</w:t>
      </w:r>
    </w:p>
    <w:p>
      <w:pPr>
        <w:spacing w:line="560" w:lineRule="exact"/>
        <w:ind w:firstLine="640"/>
        <w:rPr>
          <w:rFonts w:hint="eastAsia" w:eastAsia="方正仿宋_GBK" w:cs="方正仿宋_GBK"/>
          <w:sz w:val="32"/>
          <w:szCs w:val="32"/>
        </w:rPr>
      </w:pPr>
      <w:r>
        <w:rPr>
          <w:rFonts w:hint="eastAsia" w:eastAsia="方正仿宋_GBK" w:cs="方正仿宋_GBK"/>
          <w:sz w:val="32"/>
          <w:szCs w:val="32"/>
        </w:rPr>
        <w:t>绩效评价标准通常包括计划标准、行业标准、历史标准等，用于对绩效指标完成情况进行比较、分析、评价。本次评价主要采用了计划标准和行业标准。</w:t>
      </w:r>
    </w:p>
    <w:p>
      <w:pPr>
        <w:spacing w:line="560" w:lineRule="exact"/>
        <w:ind w:firstLine="640"/>
        <w:rPr>
          <w:rFonts w:eastAsia="方正仿宋_GBK" w:cs="方正仿宋_GBK"/>
          <w:sz w:val="32"/>
          <w:szCs w:val="32"/>
        </w:rPr>
      </w:pPr>
      <w:bookmarkStart w:id="1" w:name="_Toc31464"/>
      <w:bookmarkStart w:id="2" w:name="_Toc17882"/>
      <w:r>
        <w:rPr>
          <w:rFonts w:hint="eastAsia" w:eastAsia="方正仿宋_GBK" w:cs="方正仿宋_GBK"/>
          <w:b/>
          <w:bCs/>
          <w:sz w:val="32"/>
          <w:szCs w:val="32"/>
        </w:rPr>
        <w:t>计划标准：</w:t>
      </w:r>
      <w:r>
        <w:rPr>
          <w:rFonts w:hint="eastAsia" w:eastAsia="方正仿宋_GBK" w:cs="方正仿宋_GBK"/>
          <w:sz w:val="32"/>
          <w:szCs w:val="32"/>
        </w:rPr>
        <w:t>指以预先制定的目标、计划、预算、定额等作为评价标准。</w:t>
      </w:r>
      <w:bookmarkEnd w:id="1"/>
      <w:bookmarkEnd w:id="2"/>
    </w:p>
    <w:p>
      <w:pPr>
        <w:spacing w:line="560" w:lineRule="exact"/>
        <w:ind w:firstLine="640"/>
        <w:rPr>
          <w:rFonts w:eastAsia="方正仿宋_GBK" w:cs="方正仿宋_GBK"/>
          <w:sz w:val="32"/>
          <w:szCs w:val="32"/>
        </w:rPr>
      </w:pPr>
      <w:bookmarkStart w:id="3" w:name="_Toc5633"/>
      <w:bookmarkStart w:id="4" w:name="_Toc2318"/>
      <w:r>
        <w:rPr>
          <w:rFonts w:hint="eastAsia" w:eastAsia="方正仿宋_GBK" w:cs="方正仿宋_GBK"/>
          <w:b/>
          <w:bCs/>
          <w:sz w:val="32"/>
          <w:szCs w:val="32"/>
        </w:rPr>
        <w:t>行业标准：</w:t>
      </w:r>
      <w:r>
        <w:rPr>
          <w:rFonts w:hint="eastAsia" w:eastAsia="方正仿宋_GBK" w:cs="方正仿宋_GBK"/>
          <w:sz w:val="32"/>
          <w:szCs w:val="32"/>
        </w:rPr>
        <w:t>指参照国家公布的行业指标数据制定的评价标准。</w:t>
      </w:r>
      <w:bookmarkEnd w:id="3"/>
      <w:bookmarkEnd w:id="4"/>
    </w:p>
    <w:p>
      <w:pPr>
        <w:spacing w:line="560" w:lineRule="exact"/>
        <w:ind w:firstLine="640"/>
        <w:rPr>
          <w:rFonts w:eastAsia="方正仿宋_GBK" w:cs="方正仿宋_GBK"/>
          <w:sz w:val="32"/>
          <w:szCs w:val="32"/>
        </w:rPr>
      </w:pPr>
      <w:bookmarkStart w:id="5" w:name="_Toc16028"/>
      <w:bookmarkStart w:id="6" w:name="_Toc430"/>
      <w:r>
        <w:rPr>
          <w:rFonts w:hint="eastAsia" w:eastAsia="方正仿宋_GBK" w:cs="方正仿宋_GBK"/>
          <w:b/>
          <w:bCs/>
          <w:sz w:val="32"/>
          <w:szCs w:val="32"/>
        </w:rPr>
        <w:t>历史标准：</w:t>
      </w:r>
      <w:r>
        <w:rPr>
          <w:rFonts w:hint="eastAsia" w:eastAsia="方正仿宋_GBK" w:cs="方正仿宋_GBK"/>
          <w:sz w:val="32"/>
          <w:szCs w:val="32"/>
        </w:rPr>
        <w:t>指参照历史数据制定的评价标准，为体现绩效改进的原则，在可实现的条件下应当确定相对较高的评价标准。</w:t>
      </w:r>
      <w:bookmarkEnd w:id="5"/>
      <w:bookmarkEnd w:id="6"/>
    </w:p>
    <w:p>
      <w:pPr>
        <w:pStyle w:val="2"/>
        <w:numPr>
          <w:ilvl w:val="0"/>
          <w:numId w:val="3"/>
        </w:numPr>
        <w:spacing w:before="0" w:after="0" w:line="560" w:lineRule="exact"/>
        <w:ind w:firstLine="711" w:firstLineChars="200"/>
        <w:jc w:val="both"/>
        <w:rPr>
          <w:rFonts w:ascii="楷体" w:hAnsi="楷体" w:eastAsia="楷体" w:cs="楷体"/>
          <w:color w:val="000000"/>
          <w:spacing w:val="17"/>
        </w:rPr>
      </w:pPr>
      <w:r>
        <w:rPr>
          <w:rFonts w:hint="eastAsia" w:ascii="楷体" w:hAnsi="楷体" w:eastAsia="楷体" w:cs="楷体"/>
          <w:color w:val="000000"/>
          <w:spacing w:val="17"/>
        </w:rPr>
        <w:t>绩效评价工作过程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仿宋_GB2312"/>
          <w:bCs/>
          <w:sz w:val="32"/>
          <w:szCs w:val="32"/>
        </w:rPr>
      </w:pPr>
      <w:r>
        <w:rPr>
          <w:rFonts w:hint="eastAsia" w:eastAsia="仿宋_GB2312"/>
          <w:bCs/>
          <w:sz w:val="32"/>
          <w:szCs w:val="32"/>
          <w:lang w:val="en-US" w:eastAsia="zh-CN"/>
        </w:rPr>
        <w:t>1.</w:t>
      </w:r>
      <w:r>
        <w:rPr>
          <w:rFonts w:hint="eastAsia" w:eastAsia="仿宋_GB2312"/>
          <w:bCs/>
          <w:sz w:val="32"/>
          <w:szCs w:val="32"/>
        </w:rPr>
        <w:t>前期准备。首先成立评价工作组，开展前期调研；其次明确项目绩效目标，设计绩效评价指标体系并确定绩效评价方法；接着确定现场和非现场评价范围，设计资料清单；最后制定评价实施方案并进行论证。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仿宋_GB2312"/>
          <w:bCs/>
          <w:sz w:val="32"/>
          <w:szCs w:val="32"/>
        </w:rPr>
      </w:pPr>
      <w:r>
        <w:rPr>
          <w:rFonts w:hint="eastAsia" w:eastAsia="仿宋_GB2312"/>
          <w:bCs/>
          <w:sz w:val="32"/>
          <w:szCs w:val="32"/>
          <w:lang w:val="en-US" w:eastAsia="zh-CN"/>
        </w:rPr>
        <w:t>2.</w:t>
      </w:r>
      <w:r>
        <w:rPr>
          <w:rFonts w:hint="eastAsia" w:eastAsia="仿宋_GB2312"/>
          <w:bCs/>
          <w:sz w:val="32"/>
          <w:szCs w:val="32"/>
        </w:rPr>
        <w:t>组织实施。制定绩效评价工作方案，具体包括项目概况、评价思路、方法手段、组织实施、进度安排等。收集项目立项依据、相关会议纪要、实施方案、财政资金分配方案、支付管理情况等相关评价资料并进行梳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sz w:val="32"/>
          <w:szCs w:val="32"/>
        </w:rPr>
      </w:pPr>
      <w:r>
        <w:rPr>
          <w:rFonts w:hint="eastAsia" w:eastAsia="仿宋_GB2312"/>
          <w:bCs/>
          <w:sz w:val="32"/>
          <w:szCs w:val="32"/>
          <w:lang w:val="en-US" w:eastAsia="zh-CN"/>
        </w:rPr>
        <w:t>3.</w:t>
      </w:r>
      <w:r>
        <w:rPr>
          <w:rFonts w:hint="eastAsia" w:eastAsia="仿宋_GB2312"/>
          <w:bCs/>
          <w:sz w:val="32"/>
          <w:szCs w:val="32"/>
        </w:rPr>
        <w:t>分析评价。根据收集梳理的资料围绕项目立项、资金落实、业务管理、财务管理、项目产出、项目效益等内容，对照已确定的绩效评价指标进行详细全面的分析评价，逐项打分并形成绩效评价最终结果。</w:t>
      </w:r>
    </w:p>
    <w:p>
      <w:pPr>
        <w:numPr>
          <w:ilvl w:val="0"/>
          <w:numId w:val="4"/>
        </w:numPr>
        <w:spacing w:line="560" w:lineRule="exact"/>
        <w:ind w:firstLine="640" w:firstLineChars="200"/>
        <w:rPr>
          <w:rFonts w:eastAsia="黑体"/>
          <w:sz w:val="32"/>
          <w:szCs w:val="32"/>
        </w:rPr>
      </w:pPr>
      <w:r>
        <w:rPr>
          <w:rFonts w:eastAsia="黑体"/>
          <w:sz w:val="32"/>
          <w:szCs w:val="32"/>
        </w:rPr>
        <w:t>综合评价情况及评价结论（附相关评分表）</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Times New Roman" w:hAnsi="Times New Roman" w:eastAsia="楷体_GB2312"/>
          <w:lang w:val="en-US" w:eastAsia="zh-CN"/>
        </w:rPr>
      </w:pPr>
      <w:r>
        <w:rPr>
          <w:rFonts w:hint="eastAsia" w:ascii="Times New Roman" w:hAnsi="Times New Roman" w:eastAsia="楷体_GB2312"/>
          <w:lang w:eastAsia="zh-CN"/>
        </w:rPr>
        <w:t>（</w:t>
      </w:r>
      <w:r>
        <w:rPr>
          <w:rFonts w:hint="eastAsia" w:ascii="Times New Roman" w:hAnsi="Times New Roman" w:eastAsia="楷体_GB2312"/>
          <w:lang w:val="en-US" w:eastAsia="zh-CN"/>
        </w:rPr>
        <w:t>一</w:t>
      </w:r>
      <w:r>
        <w:rPr>
          <w:rFonts w:hint="eastAsia" w:ascii="Times New Roman" w:hAnsi="Times New Roman" w:eastAsia="楷体_GB2312"/>
          <w:lang w:eastAsia="zh-CN"/>
        </w:rPr>
        <w:t>）</w:t>
      </w:r>
      <w:r>
        <w:rPr>
          <w:rFonts w:hint="eastAsia" w:ascii="Times New Roman" w:hAnsi="Times New Roman" w:eastAsia="楷体_GB2312"/>
          <w:lang w:val="en-US" w:eastAsia="zh-CN"/>
        </w:rPr>
        <w:t>评价情况</w:t>
      </w:r>
    </w:p>
    <w:p>
      <w:pPr>
        <w:shd w:val="clear"/>
        <w:spacing w:line="600" w:lineRule="exact"/>
        <w:ind w:firstLine="640" w:firstLineChars="200"/>
        <w:outlineLvl w:val="0"/>
        <w:rPr>
          <w:rFonts w:hint="default" w:ascii="Times New Roman" w:hAnsi="Times New Roman" w:eastAsia="仿宋_GB2312" w:cs="Times New Roman"/>
          <w:b w:val="0"/>
          <w:bCs w:val="0"/>
          <w:kern w:val="28"/>
          <w:sz w:val="32"/>
          <w:szCs w:val="32"/>
          <w:lang w:val="en-US" w:eastAsia="zh-CN" w:bidi="ar-SA"/>
        </w:rPr>
      </w:pPr>
      <w:r>
        <w:rPr>
          <w:rFonts w:hint="eastAsia" w:ascii="Times New Roman" w:hAnsi="Times New Roman" w:eastAsia="仿宋_GB2312" w:cs="Times New Roman"/>
          <w:b w:val="0"/>
          <w:bCs w:val="0"/>
          <w:kern w:val="28"/>
          <w:sz w:val="32"/>
          <w:szCs w:val="32"/>
          <w:lang w:val="en-US" w:eastAsia="zh-CN" w:bidi="ar-SA"/>
        </w:rPr>
        <w:t>项目总体组织规范，在项目实施过程做到认真履职，监督到位。按照相关制度的要求，项目负责人对项目绩效监控执行情况进行跟踪监督，有效完成了本项目的工作目标，确保资金使用安全和最大效益的发挥，保障项目如期按要求完成。规范了项目档案资料的整理。项目的实施达到项目预期效果。</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Times New Roman" w:hAnsi="Times New Roman" w:eastAsia="楷体_GB2312" w:cs="Times New Roman"/>
          <w:lang w:val="en-US" w:eastAsia="zh-CN"/>
        </w:rPr>
      </w:pPr>
      <w:r>
        <w:rPr>
          <w:rFonts w:hint="eastAsia" w:ascii="Times New Roman" w:hAnsi="Times New Roman" w:eastAsia="楷体_GB2312" w:cs="Times New Roman"/>
          <w:lang w:eastAsia="zh-CN"/>
        </w:rPr>
        <w:t>（</w:t>
      </w:r>
      <w:r>
        <w:rPr>
          <w:rFonts w:hint="eastAsia" w:ascii="Times New Roman" w:hAnsi="Times New Roman" w:eastAsia="楷体_GB2312" w:cs="Times New Roman"/>
          <w:lang w:val="en-US" w:eastAsia="zh-CN"/>
        </w:rPr>
        <w:t>二</w:t>
      </w:r>
      <w:r>
        <w:rPr>
          <w:rFonts w:hint="eastAsia" w:ascii="Times New Roman" w:hAnsi="Times New Roman" w:eastAsia="楷体_GB2312" w:cs="Times New Roman"/>
          <w:lang w:eastAsia="zh-CN"/>
        </w:rPr>
        <w:t>）</w:t>
      </w:r>
      <w:r>
        <w:rPr>
          <w:rFonts w:hint="eastAsia" w:ascii="Times New Roman" w:hAnsi="Times New Roman" w:eastAsia="楷体_GB2312" w:cs="Times New Roman"/>
          <w:lang w:val="en-US" w:eastAsia="zh-CN"/>
        </w:rPr>
        <w:t>评价结论</w:t>
      </w:r>
    </w:p>
    <w:p>
      <w:pPr>
        <w:pStyle w:val="2"/>
        <w:widowControl w:val="0"/>
        <w:spacing w:before="0" w:after="0" w:line="560" w:lineRule="exact"/>
        <w:ind w:firstLine="640" w:firstLineChars="200"/>
        <w:jc w:val="both"/>
        <w:outlineLvl w:val="9"/>
        <w:rPr>
          <w:rFonts w:hint="eastAsia" w:ascii="Times New Roman" w:hAnsi="Times New Roman" w:eastAsia="仿宋_GB2312"/>
          <w:b w:val="0"/>
          <w:bCs w:val="0"/>
          <w:lang w:eastAsia="zh-CN"/>
        </w:rPr>
      </w:pPr>
      <w:r>
        <w:rPr>
          <w:rFonts w:hint="eastAsia" w:ascii="Times New Roman" w:hAnsi="Times New Roman" w:eastAsia="仿宋_GB2312"/>
          <w:b w:val="0"/>
          <w:bCs w:val="0"/>
        </w:rPr>
        <w:t>运用绩效评价组制定的评价指标体系以及财政部《项目支出绩效评价管理办法》（财预〔2020〕10号）文件的评分标准，通过数据采集、问卷调查及访谈等方式，对本项目进行客观评价，最终评分结果：</w:t>
      </w:r>
      <w:r>
        <w:rPr>
          <w:rFonts w:hint="eastAsia" w:ascii="Times New Roman" w:hAnsi="Times New Roman" w:eastAsia="仿宋_GB2312" w:cs="Times New Roman"/>
          <w:b w:val="0"/>
          <w:bCs w:val="0"/>
          <w:kern w:val="28"/>
          <w:sz w:val="32"/>
          <w:szCs w:val="32"/>
          <w:lang w:val="en-US" w:eastAsia="zh-CN" w:bidi="ar-SA"/>
        </w:rPr>
        <w:t>总得分为 100分，属于“优”。其中，项目决策类指标权重为20分，得分为 20分，得分率为 100%。项目过程类指标权重为20分，得分为20分，得分率为 100%。项目产出类指标权重为40分，得分为40分，得分率为 100%。项目效益类指标权重为20分，得分为20分，得分率为100%。</w:t>
      </w:r>
      <w:r>
        <w:rPr>
          <w:rFonts w:hint="eastAsia" w:ascii="Times New Roman" w:hAnsi="Times New Roman" w:eastAsia="仿宋_GB2312"/>
          <w:b w:val="0"/>
          <w:bCs w:val="0"/>
        </w:rPr>
        <w:t>具体打分情况详见：附件1综合评分表</w:t>
      </w:r>
      <w:r>
        <w:rPr>
          <w:rFonts w:hint="eastAsia" w:ascii="Times New Roman" w:hAnsi="Times New Roman" w:eastAsia="仿宋_GB2312"/>
          <w:b w:val="0"/>
          <w:bCs w:val="0"/>
          <w:lang w:eastAsia="zh-CN"/>
        </w:rPr>
        <w:t>。</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ascii="Times New Roman" w:hAnsi="Times New Roman" w:eastAsia="仿宋_GB2312"/>
          <w:sz w:val="30"/>
          <w:szCs w:val="30"/>
        </w:rPr>
      </w:pPr>
      <w:r>
        <w:rPr>
          <w:rFonts w:ascii="Times New Roman" w:hAnsi="Times New Roman" w:eastAsia="仿宋_GB2312"/>
          <w:sz w:val="30"/>
          <w:szCs w:val="30"/>
        </w:rPr>
        <w:t>表1综合评分表</w:t>
      </w:r>
    </w:p>
    <w:tbl>
      <w:tblPr>
        <w:tblStyle w:val="13"/>
        <w:tblW w:w="7583" w:type="dxa"/>
        <w:jc w:val="center"/>
        <w:tblLayout w:type="fixed"/>
        <w:tblCellMar>
          <w:top w:w="0" w:type="dxa"/>
          <w:left w:w="108" w:type="dxa"/>
          <w:bottom w:w="0" w:type="dxa"/>
          <w:right w:w="108" w:type="dxa"/>
        </w:tblCellMar>
      </w:tblPr>
      <w:tblGrid>
        <w:gridCol w:w="3137"/>
        <w:gridCol w:w="2168"/>
        <w:gridCol w:w="2278"/>
      </w:tblGrid>
      <w:tr>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一级指标</w:t>
            </w:r>
          </w:p>
        </w:tc>
        <w:tc>
          <w:tcPr>
            <w:tcW w:w="216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权重分</w:t>
            </w:r>
          </w:p>
        </w:tc>
        <w:tc>
          <w:tcPr>
            <w:tcW w:w="227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得分</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项目决策</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项目过程</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项目产出</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40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40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项目效益</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rPr>
            </w:pPr>
            <w:r>
              <w:rPr>
                <w:rFonts w:hint="eastAsia" w:cs="宋体"/>
                <w:b/>
                <w:bCs/>
                <w:color w:val="000000"/>
                <w:sz w:val="22"/>
              </w:rPr>
              <w:t>合计</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lang w:val="en-US" w:eastAsia="zh-CN"/>
              </w:rPr>
            </w:pPr>
            <w:r>
              <w:rPr>
                <w:rFonts w:hint="eastAsia"/>
                <w:b/>
                <w:bCs/>
                <w:color w:val="000000"/>
                <w:sz w:val="22"/>
                <w:lang w:val="en-US" w:eastAsia="zh-CN"/>
              </w:rPr>
              <w:t>100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lang w:val="en-US" w:eastAsia="zh-CN"/>
              </w:rPr>
            </w:pPr>
            <w:r>
              <w:rPr>
                <w:rFonts w:hint="eastAsia"/>
                <w:b/>
                <w:bCs/>
                <w:color w:val="000000"/>
                <w:sz w:val="22"/>
                <w:lang w:val="en-US" w:eastAsia="zh-CN"/>
              </w:rPr>
              <w:t>100</w:t>
            </w:r>
          </w:p>
        </w:tc>
      </w:tr>
    </w:tbl>
    <w:p>
      <w:pPr>
        <w:spacing w:line="560" w:lineRule="exact"/>
        <w:ind w:firstLine="640" w:firstLineChars="200"/>
        <w:rPr>
          <w:rFonts w:eastAsia="黑体"/>
          <w:sz w:val="32"/>
          <w:szCs w:val="32"/>
        </w:rPr>
      </w:pPr>
      <w:r>
        <w:rPr>
          <w:rFonts w:eastAsia="黑体"/>
          <w:sz w:val="32"/>
          <w:szCs w:val="32"/>
        </w:rPr>
        <w:t>四、绩效评价指标分析</w:t>
      </w:r>
    </w:p>
    <w:p>
      <w:pPr>
        <w:pStyle w:val="2"/>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项目决策类指标包括项目立项、绩效目标和资金投入三方面的内容，由6个三级指标构成，权重分值为20分，实际得分20分，得分率为100%。</w:t>
      </w:r>
    </w:p>
    <w:p>
      <w:pPr>
        <w:shd w:val="clear"/>
        <w:spacing w:line="600" w:lineRule="exact"/>
        <w:ind w:firstLine="643" w:firstLineChars="200"/>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1.项目立项</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（1）立项依据充分性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该项目立项</w:t>
      </w:r>
      <w:r>
        <w:rPr>
          <w:rFonts w:hint="eastAsia" w:eastAsia="仿宋_GB2312"/>
          <w:sz w:val="32"/>
          <w:szCs w:val="32"/>
        </w:rPr>
        <w:t>根据新财教【2016】238号关于印发《新疆维吾尔自治区区级文艺院团政府购买演出管理办法》的通知，为进一步推进自治区级文艺院团体制机制创新，</w:t>
      </w:r>
      <w:bookmarkStart w:id="10" w:name="_GoBack"/>
      <w:bookmarkEnd w:id="10"/>
      <w:r>
        <w:rPr>
          <w:rFonts w:hint="eastAsia" w:ascii="仿宋_GB2312" w:hAnsi="仿宋_GB2312" w:eastAsia="仿宋_GB2312" w:cs="仿宋_GB2312"/>
          <w:sz w:val="32"/>
          <w:szCs w:val="32"/>
          <w:lang w:val="en-US" w:eastAsia="zh-CN"/>
        </w:rPr>
        <w:t>符合国家相关法律法规及发展政策，符合行业规划要求，围绕本年度工作重点和工作计划制定经费预算，属于公共财政支持范围。本项目与部门内部其他相关项目不重复。部门发展规划及职能文件等归档完整。</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（2）立项程序规范性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项目申请、设立过程符合相关要求，</w:t>
      </w:r>
      <w:r>
        <w:rPr>
          <w:rFonts w:hint="eastAsia" w:ascii="仿宋_GB2312" w:hAnsi="仿宋_GB2312" w:eastAsia="仿宋_GB2312" w:cs="仿宋_GB2312"/>
          <w:sz w:val="32"/>
          <w:szCs w:val="32"/>
          <w:lang w:eastAsia="zh-Hans"/>
        </w:rPr>
        <w:t>严格按照审批流程准备符合要求的文件、材料；</w:t>
      </w:r>
      <w:r>
        <w:rPr>
          <w:rFonts w:hint="eastAsia" w:ascii="仿宋_GB2312" w:hAnsi="仿宋_GB2312" w:eastAsia="仿宋_GB2312" w:cs="仿宋_GB2312"/>
          <w:sz w:val="32"/>
          <w:szCs w:val="32"/>
          <w:lang w:val="en-US" w:eastAsia="zh-CN"/>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2.绩效目标</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（1）绩效目标合理性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Hans"/>
        </w:rPr>
        <w:t>年初结合实际工作内容</w:t>
      </w:r>
      <w:r>
        <w:rPr>
          <w:rFonts w:hint="eastAsia" w:ascii="仿宋_GB2312" w:hAnsi="仿宋_GB2312" w:eastAsia="仿宋_GB2312" w:cs="仿宋_GB2312"/>
          <w:sz w:val="32"/>
          <w:szCs w:val="32"/>
          <w:lang w:val="en-US" w:eastAsia="zh-CN"/>
        </w:rPr>
        <w:t>设定绩效目标</w:t>
      </w:r>
      <w:r>
        <w:rPr>
          <w:rFonts w:hint="eastAsia" w:ascii="仿宋_GB2312" w:hAnsi="仿宋_GB2312" w:eastAsia="仿宋_GB2312" w:cs="仿宋_GB2312"/>
          <w:sz w:val="32"/>
          <w:szCs w:val="32"/>
          <w:lang w:val="en-US" w:eastAsia="zh-Hans"/>
        </w:rPr>
        <w:t>，绩效目标</w:t>
      </w:r>
      <w:r>
        <w:rPr>
          <w:rFonts w:hint="eastAsia" w:ascii="仿宋_GB2312" w:hAnsi="仿宋_GB2312" w:eastAsia="仿宋_GB2312" w:cs="仿宋_GB2312"/>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（2）绩效指标明确性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项目设置了明确的预期产出效益和效果，将绩效目标细化分解为具体的绩效指标，绩效目标与项目目标任务数相对应，绩效目标设定的绩效指标清晰、细化、可衡量。</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3.资金投入</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（1）预算编制科学性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预算编制经过科学论证，提供充分的测算依据佐证资料，预算内容与项目内容相匹配。项目投资额与工作任务相匹配。</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（2）资金分配合理性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资金分配额度与项目单位实际工作内容相适应，资金分配额度合理，资金分配依据充分。</w:t>
      </w:r>
    </w:p>
    <w:p>
      <w:pPr>
        <w:pStyle w:val="2"/>
        <w:numPr>
          <w:ilvl w:val="0"/>
          <w:numId w:val="5"/>
        </w:numPr>
        <w:spacing w:before="0" w:after="0" w:line="560" w:lineRule="exact"/>
        <w:ind w:firstLine="643" w:firstLineChars="200"/>
        <w:jc w:val="both"/>
        <w:rPr>
          <w:rFonts w:ascii="楷体" w:hAnsi="楷体" w:eastAsia="楷体" w:cs="楷体"/>
        </w:rPr>
      </w:pPr>
      <w:r>
        <w:rPr>
          <w:rFonts w:hint="eastAsia" w:ascii="楷体" w:hAnsi="楷体" w:eastAsia="楷体" w:cs="楷体"/>
        </w:rPr>
        <w:t>项目过程情况</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项目过程类指标包括资金管理和组织实施两方面的内容，由</w:t>
      </w:r>
      <w:r>
        <w:rPr>
          <w:rFonts w:hint="eastAsia" w:ascii="仿宋_GB2312" w:hAnsi="仿宋_GB2312" w:eastAsia="仿宋_GB2312" w:cs="仿宋_GB2312"/>
          <w:sz w:val="32"/>
          <w:szCs w:val="32"/>
          <w:highlight w:val="none"/>
          <w:lang w:val="en-US" w:eastAsia="zh-CN"/>
        </w:rPr>
        <w:t>5个</w:t>
      </w:r>
      <w:r>
        <w:rPr>
          <w:rFonts w:hint="eastAsia" w:ascii="仿宋_GB2312" w:hAnsi="仿宋_GB2312" w:eastAsia="仿宋_GB2312" w:cs="仿宋_GB2312"/>
          <w:sz w:val="32"/>
          <w:szCs w:val="32"/>
          <w:lang w:val="en-US" w:eastAsia="zh-CN"/>
        </w:rPr>
        <w:t>三级指标构成，权重分值为20分，实际得分20分，得分率为100%。</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项目资金使用符合相关的财务管理制度规定，能够反映和考核项目资金的规范运行情况；项目实施单位的财务和业务管理制度健全，能够反映和考核财务和业务管理制度对项目顺利实施的保障情况。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1.资金管理</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（1）资金到位率</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本项目总投资260万元，财政资金及时足额到位，到位率100%，预算资金按计划进度执行。</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（2）预算执行率</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预算编制较为详细，项目资金支出总体能够按照预算执行，预算资金支出260万元，预算执行率为100%。</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（3）资金使用合规性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严格按照预期绩效目标执行预算资金。制定了相关的制度和管理规定，对项目经费使用进行规范管理，财务制度健全、执行严格。资金的拨付有完整的审批程序和手续，在项目资金拨付和使用过程中，为确保项目资金的安全性，提高项目资金使用效率，严格遵循项目资金的拨付程序，认真审核项目实施各阶段的相关材料和手续，根据项目实施进展情况拨付资金。资金使用符合该项目的立项批复。资金不存在截留、挤占、挪用、虚列支出等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2.组织实施</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（1）管理制度健全性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相关管理办法，对财政资金进行严格管理，做到专款专用，项目资金使用符合相关的财务管理制度规定，能够反映和考核项目资金的规范运行情况；项目实施单位的财务和业务管理制度健全，能够反映和考核财务和业务管理制度对项目顺利实施的保障情况。</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（2）制度执行有效性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对资金使用的合法合规性进行监督，年末对资金使用效果进行评价。项目管理、实施人员落实到位，有效按照计划执行。项目执行情况等资料齐全，项目相关手续完备，及时进行归档。</w:t>
      </w:r>
    </w:p>
    <w:p>
      <w:pPr>
        <w:pStyle w:val="11"/>
        <w:numPr>
          <w:ilvl w:val="0"/>
          <w:numId w:val="5"/>
        </w:numPr>
        <w:spacing w:line="560" w:lineRule="exact"/>
        <w:ind w:firstLine="643"/>
        <w:rPr>
          <w:rFonts w:eastAsia="楷体_GB2312"/>
          <w:b/>
          <w:bCs/>
          <w:sz w:val="32"/>
          <w:szCs w:val="32"/>
        </w:rPr>
      </w:pPr>
      <w:r>
        <w:rPr>
          <w:rFonts w:eastAsia="楷体_GB2312"/>
          <w:b/>
          <w:bCs/>
          <w:sz w:val="32"/>
          <w:szCs w:val="32"/>
        </w:rPr>
        <w:t>项目产出</w:t>
      </w:r>
      <w:r>
        <w:rPr>
          <w:rFonts w:hint="eastAsia" w:eastAsia="楷体_GB2312"/>
          <w:b/>
          <w:bCs/>
          <w:sz w:val="32"/>
          <w:szCs w:val="32"/>
          <w:lang w:val="en-US" w:eastAsia="zh-CN"/>
        </w:rPr>
        <w:t>情况</w:t>
      </w:r>
    </w:p>
    <w:p>
      <w:pPr>
        <w:shd w:val="clear"/>
        <w:spacing w:line="600" w:lineRule="exact"/>
        <w:ind w:firstLine="640" w:firstLineChars="200"/>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项目产出类指标包括产出数量、产出质量、产出时效、产出成本四方面的内容，由8个三级指标构成，权重分为40分，实际得分40分，得分率为100%。具体产出指标完成情况如下：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1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数量指标：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指标1：小型演出场次，指标值：150场，实际完成值：150场，指标完成率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指标2： 弥补人员数量，指标值：139人 ，实际完成值：139人，指标完成率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pStyle w:val="2"/>
        <w:ind w:firstLine="640" w:firstLineChars="200"/>
        <w:jc w:val="left"/>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指标3：发放次数，指标值：≥12次，实际完成值：5次，指标完成率100 %。偏差原因：由于跨年调资，调进人员等情况，补发变动幅度大，实际完成值少于实际完成值，但未影响指标完成率。</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2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质量指标：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xml:space="preserve">指标1：演出高质量完成率 ，指标值：≥95%  ，实际完成值：95%，指标完成率 </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3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时效指标：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指标1：演出活动按时完成率，指标值：100%  ，实际完成值：100% ，指标完成率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：人员经费发放及时效率，指标值：95%，实际完成值：95%，指标完成率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4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④</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成本指标：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指标1：在职人员，聘用人员绩效奖 ，指标值：182万元  ，实际完成值：182万元，指标完成率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 xml:space="preserve">：弥补聘用人员工资，指标值：78万元，实际完成值：78万元，指标完成率 </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pStyle w:val="11"/>
        <w:numPr>
          <w:ilvl w:val="0"/>
          <w:numId w:val="5"/>
        </w:numPr>
        <w:spacing w:line="560" w:lineRule="exact"/>
        <w:ind w:firstLine="643"/>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项目效益情况</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项目效益类指标包括项目实施效益和满意度两方面的内容，由2个三级指标构成，权重分为20分，实际得分20分，得分率为100%。具体效益指标及满意度指标完成情况如下：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1.实施效益</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rPr>
        <w:t>社会效益指标：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指标1：提高各族群众精神文化生活水平，指标值：显著提高，实际完成值：显著提高，指标完成率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2.满意度</w:t>
      </w:r>
    </w:p>
    <w:p>
      <w:pPr>
        <w:shd w:val="clear"/>
        <w:spacing w:line="600" w:lineRule="exact"/>
        <w:ind w:firstLine="640" w:firstLineChars="200"/>
        <w:outlineLvl w:val="0"/>
        <w:rPr>
          <w:rStyle w:val="17"/>
          <w:rFonts w:hint="eastAsia" w:eastAsia="仿宋_GB2312"/>
          <w:color w:val="auto"/>
          <w:lang w:eastAsia="zh-CN"/>
        </w:rPr>
      </w:pPr>
      <w:r>
        <w:rPr>
          <w:rStyle w:val="17"/>
          <w:rFonts w:hint="eastAsia" w:eastAsia="仿宋_GB2312"/>
          <w:color w:val="auto"/>
          <w:lang w:val="en-US" w:eastAsia="zh-CN"/>
        </w:rPr>
        <w:t>①</w:t>
      </w:r>
      <w:r>
        <w:rPr>
          <w:rStyle w:val="17"/>
          <w:rFonts w:hint="eastAsia"/>
          <w:color w:val="auto"/>
        </w:rPr>
        <w:t>服务对象满意度指标</w:t>
      </w:r>
      <w:r>
        <w:rPr>
          <w:rStyle w:val="17"/>
          <w:rFonts w:hint="eastAsia" w:eastAsia="仿宋_GB2312"/>
          <w:color w:val="auto"/>
          <w:lang w:eastAsia="zh-CN"/>
        </w:rPr>
        <w:t>：</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指标1：观看演出群众满意度，指标值：≥90%，实际完成值：90%，指标完成率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hint="eastAsia" w:ascii="Times New Roman" w:hAnsi="Times New Roman" w:eastAsia="黑体" w:cs="Times New Roman"/>
          <w:sz w:val="32"/>
          <w:szCs w:val="32"/>
          <w:lang w:eastAsia="zh-Hans"/>
        </w:rPr>
      </w:pPr>
      <w:r>
        <w:rPr>
          <w:rFonts w:hint="eastAsia" w:ascii="Times New Roman" w:hAnsi="Times New Roman" w:eastAsia="黑体" w:cs="Times New Roman"/>
          <w:sz w:val="32"/>
          <w:szCs w:val="32"/>
          <w:lang w:eastAsia="zh-Hans"/>
        </w:rPr>
        <w:t>五、预算执行进度与绩效指标总体完成率偏差</w:t>
      </w:r>
    </w:p>
    <w:p>
      <w:pPr>
        <w:pStyle w:val="18"/>
        <w:spacing w:line="560" w:lineRule="exact"/>
        <w:ind w:firstLine="64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自治区本级政府购买演出项目年初预算260万元，全年预算260万元，实际支出260万元，预算执行率为100%，项目绩效指标总体完成率为100%，</w:t>
      </w:r>
      <w:r>
        <w:rPr>
          <w:rFonts w:hint="eastAsia" w:ascii="Times New Roman" w:hAnsi="Times New Roman" w:eastAsia="仿宋_GB2312" w:cs="Times New Roman"/>
          <w:kern w:val="2"/>
          <w:sz w:val="32"/>
          <w:szCs w:val="32"/>
          <w:lang w:val="en-US" w:eastAsia="zh-Hans" w:bidi="ar-SA"/>
        </w:rPr>
        <w:t>总体</w:t>
      </w:r>
      <w:r>
        <w:rPr>
          <w:rFonts w:hint="eastAsia" w:ascii="Times New Roman" w:hAnsi="Times New Roman" w:eastAsia="仿宋_GB2312" w:cs="Times New Roman"/>
          <w:kern w:val="2"/>
          <w:sz w:val="32"/>
          <w:szCs w:val="32"/>
          <w:lang w:val="en-US" w:eastAsia="zh-CN" w:bidi="ar-SA"/>
        </w:rPr>
        <w:t>偏差率为无。</w:t>
      </w:r>
    </w:p>
    <w:p>
      <w:pPr>
        <w:spacing w:line="560" w:lineRule="exact"/>
        <w:ind w:firstLine="640" w:firstLineChars="200"/>
        <w:rPr>
          <w:rStyle w:val="17"/>
          <w:rFonts w:ascii="Times New Roman" w:hAnsi="Times New Roman" w:cs="Times New Roman"/>
          <w:color w:val="auto"/>
        </w:rPr>
      </w:pPr>
      <w:r>
        <w:rPr>
          <w:rFonts w:hint="eastAsia" w:eastAsia="黑体"/>
          <w:sz w:val="32"/>
          <w:szCs w:val="32"/>
          <w:lang w:eastAsia="zh-Hans"/>
        </w:rPr>
        <w:t>六</w:t>
      </w:r>
      <w:r>
        <w:rPr>
          <w:rFonts w:eastAsia="黑体"/>
          <w:sz w:val="32"/>
          <w:szCs w:val="32"/>
        </w:rPr>
        <w:t>、主要经验及做法、存在的问题及原因分析</w:t>
      </w:r>
    </w:p>
    <w:p>
      <w:pPr>
        <w:spacing w:line="560" w:lineRule="exact"/>
        <w:ind w:firstLine="627" w:firstLineChars="200"/>
        <w:rPr>
          <w:rFonts w:eastAsia="楷体"/>
          <w:b/>
          <w:spacing w:val="-4"/>
          <w:sz w:val="32"/>
          <w:szCs w:val="32"/>
        </w:rPr>
      </w:pPr>
      <w:r>
        <w:rPr>
          <w:rFonts w:eastAsia="楷体"/>
          <w:b/>
          <w:spacing w:val="-4"/>
          <w:sz w:val="32"/>
          <w:szCs w:val="32"/>
        </w:rPr>
        <w:t>（一）主要经验及做法</w:t>
      </w:r>
    </w:p>
    <w:p>
      <w:pPr>
        <w:spacing w:line="560" w:lineRule="exact"/>
        <w:ind w:firstLine="640" w:firstLineChars="20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pPr>
        <w:pStyle w:val="2"/>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pPr>
        <w:keepNext/>
        <w:keepLines/>
        <w:numPr>
          <w:ilvl w:val="0"/>
          <w:numId w:val="6"/>
        </w:numPr>
        <w:spacing w:line="560" w:lineRule="exact"/>
        <w:ind w:firstLine="643" w:firstLineChars="200"/>
        <w:rPr>
          <w:rFonts w:eastAsia="楷体_GB2312"/>
          <w:b/>
          <w:bCs/>
          <w:sz w:val="32"/>
          <w:szCs w:val="32"/>
        </w:rPr>
      </w:pPr>
      <w:r>
        <w:rPr>
          <w:rFonts w:eastAsia="楷体_GB2312"/>
          <w:b/>
          <w:bCs/>
          <w:sz w:val="32"/>
          <w:szCs w:val="32"/>
        </w:rPr>
        <w:t>存在的问题及原因分析</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2.因轮岗、调动、等因素使我单位绩效工作人员流动频繁，造成了工作衔接不到位的情况。</w:t>
      </w:r>
    </w:p>
    <w:p>
      <w:pPr>
        <w:spacing w:line="580" w:lineRule="exact"/>
        <w:ind w:firstLine="640" w:firstLineChars="200"/>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 w:eastAsia="仿宋_GB2312"/>
          <w:sz w:val="32"/>
          <w:szCs w:val="32"/>
        </w:rPr>
        <w:t>由于编制、经费有限，造成人才短缺，缺乏必要的艺术专业知识及业务技能的编导人员，缺乏对创作及演出队伍成员进行专业、系统的培训。基础设施严重短缺，缺乏排练厅、固定剧场以及配套设施,没有专门训练场所，没有常态化演出场地，演出配套设备建设滞后。</w:t>
      </w:r>
    </w:p>
    <w:p>
      <w:pPr>
        <w:spacing w:line="560" w:lineRule="exact"/>
        <w:ind w:firstLine="640" w:firstLineChars="200"/>
        <w:rPr>
          <w:rFonts w:eastAsia="黑体"/>
          <w:sz w:val="32"/>
          <w:szCs w:val="32"/>
        </w:rPr>
      </w:pPr>
      <w:r>
        <w:rPr>
          <w:rFonts w:hint="eastAsia" w:eastAsia="黑体"/>
          <w:sz w:val="32"/>
          <w:szCs w:val="32"/>
          <w:lang w:eastAsia="zh-Hans"/>
        </w:rPr>
        <w:t>七、</w:t>
      </w:r>
      <w:r>
        <w:rPr>
          <w:rFonts w:eastAsia="黑体"/>
          <w:sz w:val="32"/>
          <w:szCs w:val="32"/>
        </w:rPr>
        <w:t>有关建议</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1.多进行有关绩效管理工作方面的培训。积极组织第三方开展绩效管理工作培训，进一步夯实业务基础，提高我单位绩效人员水平。</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2.专门设定对绩效工作人员定职、定岗、定责等相关制度措施，进一步提升我单位绩效管理工作业务水平，扎实做好绩效管理工作。</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pPr>
        <w:shd w:val="clear"/>
        <w:spacing w:line="600" w:lineRule="exact"/>
        <w:ind w:firstLine="640" w:firstLineChars="200"/>
        <w:outlineLvl w:val="0"/>
        <w:rPr>
          <w:sz w:val="22"/>
          <w:szCs w:val="28"/>
        </w:rPr>
      </w:pPr>
      <w:r>
        <w:rPr>
          <w:rFonts w:hint="eastAsia" w:ascii="仿宋_GB2312" w:hAnsi="仿宋_GB2312" w:eastAsia="仿宋_GB2312" w:cs="仿宋_GB2312"/>
          <w:sz w:val="32"/>
          <w:szCs w:val="32"/>
          <w:highlight w:val="none"/>
          <w:lang w:val="en-US" w:eastAsia="zh-CN"/>
        </w:rPr>
        <w:t>4.进一步完善项目评价过程中有关数据和资料的收集、整理、审核及分析。项目启动时同步做好档案的归纳与整理，及时整理、收集、汇总，健全档案资料。项目后续管理有待进一步加强和跟踪</w:t>
      </w:r>
      <w:r>
        <w:rPr>
          <w:rFonts w:hint="eastAsia" w:ascii="仿宋_GB2312" w:hAnsi="仿宋_GB2312" w:eastAsia="仿宋_GB2312" w:cs="仿宋_GB2312"/>
          <w:sz w:val="36"/>
          <w:szCs w:val="32"/>
        </w:rPr>
        <w:t>。</w:t>
      </w:r>
    </w:p>
    <w:p>
      <w:pPr>
        <w:spacing w:line="560" w:lineRule="exact"/>
        <w:ind w:firstLine="640" w:firstLineChars="200"/>
        <w:rPr>
          <w:rFonts w:eastAsia="黑体"/>
          <w:sz w:val="32"/>
          <w:szCs w:val="32"/>
        </w:rPr>
      </w:pPr>
      <w:r>
        <w:rPr>
          <w:rFonts w:hint="eastAsia" w:eastAsia="黑体"/>
          <w:sz w:val="32"/>
          <w:szCs w:val="32"/>
          <w:lang w:eastAsia="zh-Hans"/>
        </w:rPr>
        <w:t>八、</w:t>
      </w:r>
      <w:r>
        <w:rPr>
          <w:rFonts w:eastAsia="黑体"/>
          <w:sz w:val="32"/>
          <w:szCs w:val="32"/>
        </w:rPr>
        <w:t>其他需要说</w:t>
      </w:r>
      <w:bookmarkStart w:id="7" w:name="page8"/>
      <w:bookmarkEnd w:id="7"/>
      <w:r>
        <w:rPr>
          <w:rFonts w:eastAsia="黑体"/>
          <w:sz w:val="32"/>
          <w:szCs w:val="32"/>
        </w:rPr>
        <w:t>明的问题</w:t>
      </w:r>
    </w:p>
    <w:p>
      <w:pPr>
        <w:pStyle w:val="12"/>
        <w:spacing w:after="0"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本项目无其他需说明的问题。</w:t>
      </w:r>
    </w:p>
    <w:p>
      <w:pPr>
        <w:pStyle w:val="12"/>
        <w:spacing w:after="0" w:line="560" w:lineRule="exact"/>
        <w:ind w:left="0" w:leftChars="0" w:firstLine="640"/>
        <w:rPr>
          <w:rFonts w:ascii="仿宋_GB2312" w:hAnsi="仿宋_GB2312" w:eastAsia="仿宋_GB2312" w:cs="仿宋_GB2312"/>
          <w:sz w:val="32"/>
          <w:szCs w:val="32"/>
        </w:rPr>
      </w:pPr>
    </w:p>
    <w:p>
      <w:pPr>
        <w:pStyle w:val="12"/>
        <w:spacing w:after="0" w:line="560" w:lineRule="exact"/>
        <w:ind w:left="0" w:leftChars="0" w:firstLine="640"/>
        <w:rPr>
          <w:rFonts w:ascii="仿宋_GB2312" w:hAnsi="仿宋_GB2312" w:eastAsia="仿宋_GB2312" w:cs="仿宋_GB2312"/>
          <w:sz w:val="32"/>
          <w:szCs w:val="32"/>
        </w:rPr>
      </w:pPr>
    </w:p>
    <w:p>
      <w:pPr>
        <w:pStyle w:val="12"/>
        <w:spacing w:after="0" w:line="560" w:lineRule="exact"/>
        <w:ind w:left="0" w:leftChars="0" w:firstLine="0" w:firstLineChars="0"/>
        <w:rPr>
          <w:rFonts w:ascii="仿宋_GB2312" w:hAnsi="仿宋_GB2312" w:eastAsia="仿宋_GB2312" w:cs="仿宋_GB2312"/>
          <w:sz w:val="32"/>
          <w:szCs w:val="32"/>
        </w:rPr>
      </w:pPr>
    </w:p>
    <w:p>
      <w:pPr>
        <w:widowControl/>
        <w:jc w:val="center"/>
        <w:textAlignment w:val="center"/>
        <w:rPr>
          <w:rFonts w:eastAsia="方正小标宋简体"/>
          <w:b/>
          <w:kern w:val="0"/>
          <w:sz w:val="32"/>
          <w:szCs w:val="32"/>
          <w:lang w:bidi="ar"/>
        </w:rPr>
        <w:sectPr>
          <w:pgSz w:w="11906" w:h="16838"/>
          <w:pgMar w:top="1440" w:right="1558" w:bottom="1440" w:left="1800" w:header="851" w:footer="992" w:gutter="0"/>
          <w:cols w:space="425" w:num="1"/>
          <w:docGrid w:type="lines" w:linePitch="312" w:charSpace="0"/>
        </w:sectPr>
      </w:pPr>
    </w:p>
    <w:tbl>
      <w:tblPr>
        <w:tblStyle w:val="13"/>
        <w:tblW w:w="8834" w:type="dxa"/>
        <w:tblInd w:w="0" w:type="dxa"/>
        <w:tblLayout w:type="autofit"/>
        <w:tblCellMar>
          <w:top w:w="0" w:type="dxa"/>
          <w:left w:w="0" w:type="dxa"/>
          <w:bottom w:w="0" w:type="dxa"/>
          <w:right w:w="0" w:type="dxa"/>
        </w:tblCellMar>
      </w:tblPr>
      <w:tblGrid>
        <w:gridCol w:w="798"/>
        <w:gridCol w:w="984"/>
        <w:gridCol w:w="1430"/>
        <w:gridCol w:w="1523"/>
        <w:gridCol w:w="1268"/>
        <w:gridCol w:w="1348"/>
        <w:gridCol w:w="1483"/>
      </w:tblGrid>
      <w:tr>
        <w:tblPrEx>
          <w:tblCellMar>
            <w:top w:w="0" w:type="dxa"/>
            <w:left w:w="0" w:type="dxa"/>
            <w:bottom w:w="0" w:type="dxa"/>
            <w:right w:w="0" w:type="dxa"/>
          </w:tblCellMar>
        </w:tblPrEx>
        <w:trPr>
          <w:trHeight w:val="420" w:hRule="atLeast"/>
        </w:trPr>
        <w:tc>
          <w:tcPr>
            <w:tcW w:w="8834" w:type="dxa"/>
            <w:gridSpan w:val="7"/>
            <w:tcBorders>
              <w:top w:val="nil"/>
              <w:left w:val="nil"/>
              <w:bottom w:val="single" w:color="auto" w:sz="4" w:space="0"/>
              <w:right w:val="nil"/>
            </w:tcBorders>
            <w:shd w:val="clear" w:color="auto" w:fill="auto"/>
            <w:tcMar>
              <w:top w:w="12" w:type="dxa"/>
              <w:left w:w="12" w:type="dxa"/>
              <w:right w:w="12" w:type="dxa"/>
            </w:tcMar>
            <w:vAlign w:val="center"/>
          </w:tcPr>
          <w:p>
            <w:pPr>
              <w:widowControl/>
              <w:jc w:val="center"/>
              <w:textAlignment w:val="center"/>
              <w:rPr>
                <w:rFonts w:eastAsia="方正小标宋简体"/>
                <w:b/>
                <w:sz w:val="32"/>
                <w:szCs w:val="32"/>
                <w:u w:val="single"/>
              </w:rPr>
            </w:pPr>
            <w:r>
              <w:rPr>
                <w:rFonts w:eastAsia="方正小标宋简体"/>
                <w:b/>
                <w:kern w:val="0"/>
                <w:sz w:val="32"/>
                <w:szCs w:val="32"/>
                <w:lang w:bidi="ar"/>
              </w:rPr>
              <w:t>项目支出绩效自评表</w:t>
            </w:r>
          </w:p>
        </w:tc>
      </w:tr>
      <w:tr>
        <w:tblPrEx>
          <w:tblCellMar>
            <w:top w:w="0" w:type="dxa"/>
            <w:left w:w="0" w:type="dxa"/>
            <w:bottom w:w="0" w:type="dxa"/>
            <w:right w:w="0" w:type="dxa"/>
          </w:tblCellMar>
        </w:tblPrEx>
        <w:trPr>
          <w:trHeight w:val="288" w:hRule="atLeast"/>
        </w:trPr>
        <w:tc>
          <w:tcPr>
            <w:tcW w:w="8834" w:type="dxa"/>
            <w:gridSpan w:val="7"/>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22"/>
                <w:szCs w:val="22"/>
              </w:rPr>
            </w:pPr>
            <w:r>
              <w:rPr>
                <w:kern w:val="0"/>
                <w:sz w:val="22"/>
                <w:szCs w:val="22"/>
                <w:lang w:bidi="ar"/>
              </w:rPr>
              <w:t>（2022年度）</w:t>
            </w:r>
          </w:p>
        </w:tc>
      </w:tr>
      <w:tr>
        <w:tblPrEx>
          <w:tblCellMar>
            <w:top w:w="0" w:type="dxa"/>
            <w:left w:w="0" w:type="dxa"/>
            <w:bottom w:w="0" w:type="dxa"/>
            <w:right w:w="0" w:type="dxa"/>
          </w:tblCellMar>
        </w:tblPrEx>
        <w:trPr>
          <w:trHeight w:val="276"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项目名称</w:t>
            </w:r>
          </w:p>
        </w:tc>
        <w:tc>
          <w:tcPr>
            <w:tcW w:w="705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abs>
                <w:tab w:val="left" w:pos="2989"/>
              </w:tabs>
              <w:jc w:val="left"/>
              <w:textAlignment w:val="center"/>
              <w:rPr>
                <w:rFonts w:hint="eastAsia" w:eastAsia="宋体"/>
                <w:sz w:val="18"/>
                <w:szCs w:val="18"/>
                <w:lang w:eastAsia="zh-CN"/>
              </w:rPr>
            </w:pPr>
            <w:r>
              <w:rPr>
                <w:rFonts w:hint="eastAsia"/>
                <w:sz w:val="18"/>
                <w:szCs w:val="18"/>
                <w:lang w:eastAsia="zh-CN"/>
              </w:rPr>
              <w:tab/>
            </w:r>
            <w:r>
              <w:rPr>
                <w:rFonts w:hint="eastAsia"/>
                <w:sz w:val="18"/>
                <w:szCs w:val="18"/>
                <w:lang w:eastAsia="zh-CN"/>
              </w:rPr>
              <w:t>自治区本级政府购买演出</w:t>
            </w:r>
          </w:p>
        </w:tc>
      </w:tr>
      <w:tr>
        <w:tblPrEx>
          <w:tblCellMar>
            <w:top w:w="0" w:type="dxa"/>
            <w:left w:w="0" w:type="dxa"/>
            <w:bottom w:w="0" w:type="dxa"/>
            <w:right w:w="0" w:type="dxa"/>
          </w:tblCellMar>
        </w:tblPrEx>
        <w:trPr>
          <w:trHeight w:val="276"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主管部门</w:t>
            </w:r>
          </w:p>
        </w:tc>
        <w:tc>
          <w:tcPr>
            <w:tcW w:w="422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rPr>
              <w:t>自治区文化和旅游厅</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实施单位</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r>
              <w:rPr>
                <w:rFonts w:hint="eastAsia"/>
                <w:sz w:val="18"/>
                <w:szCs w:val="18"/>
              </w:rPr>
              <w:t>新疆艺术剧院歌剧团</w:t>
            </w:r>
          </w:p>
        </w:tc>
      </w:tr>
      <w:tr>
        <w:tblPrEx>
          <w:tblCellMar>
            <w:top w:w="0" w:type="dxa"/>
            <w:left w:w="0" w:type="dxa"/>
            <w:bottom w:w="0" w:type="dxa"/>
            <w:right w:w="0" w:type="dxa"/>
          </w:tblCellMar>
        </w:tblPrEx>
        <w:trPr>
          <w:trHeight w:val="276" w:hRule="atLeast"/>
        </w:trPr>
        <w:tc>
          <w:tcPr>
            <w:tcW w:w="17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项目资金</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年初预算数</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全年预算数</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全年执行数</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执行率</w:t>
            </w:r>
          </w:p>
        </w:tc>
      </w:tr>
      <w:tr>
        <w:tblPrEx>
          <w:tblCellMar>
            <w:top w:w="0" w:type="dxa"/>
            <w:left w:w="0" w:type="dxa"/>
            <w:bottom w:w="0" w:type="dxa"/>
            <w:right w:w="0" w:type="dxa"/>
          </w:tblCellMar>
        </w:tblPrEx>
        <w:trPr>
          <w:trHeight w:val="276" w:hRule="atLeast"/>
        </w:trPr>
        <w:tc>
          <w:tcPr>
            <w:tcW w:w="1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sz w:val="18"/>
                <w:szCs w:val="18"/>
              </w:rPr>
            </w:pPr>
            <w:r>
              <w:rPr>
                <w:kern w:val="0"/>
                <w:sz w:val="18"/>
                <w:szCs w:val="18"/>
                <w:lang w:bidi="ar"/>
              </w:rPr>
              <w:t>年度资金总额</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260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260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260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100%</w:t>
            </w:r>
          </w:p>
        </w:tc>
      </w:tr>
      <w:tr>
        <w:tblPrEx>
          <w:tblCellMar>
            <w:top w:w="0" w:type="dxa"/>
            <w:left w:w="0" w:type="dxa"/>
            <w:bottom w:w="0" w:type="dxa"/>
            <w:right w:w="0" w:type="dxa"/>
          </w:tblCellMar>
        </w:tblPrEx>
        <w:trPr>
          <w:trHeight w:val="276" w:hRule="atLeast"/>
        </w:trPr>
        <w:tc>
          <w:tcPr>
            <w:tcW w:w="1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其中：当年财政拨款</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260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260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260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p>
        </w:tc>
      </w:tr>
      <w:tr>
        <w:tblPrEx>
          <w:tblCellMar>
            <w:top w:w="0" w:type="dxa"/>
            <w:left w:w="0" w:type="dxa"/>
            <w:bottom w:w="0" w:type="dxa"/>
            <w:right w:w="0" w:type="dxa"/>
          </w:tblCellMar>
        </w:tblPrEx>
        <w:trPr>
          <w:trHeight w:val="276" w:hRule="atLeast"/>
        </w:trPr>
        <w:tc>
          <w:tcPr>
            <w:tcW w:w="1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上年结转资金</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276" w:hRule="atLeast"/>
        </w:trPr>
        <w:tc>
          <w:tcPr>
            <w:tcW w:w="1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 xml:space="preserve">  其他资金</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276"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年度总体目标</w:t>
            </w:r>
          </w:p>
        </w:tc>
        <w:tc>
          <w:tcPr>
            <w:tcW w:w="520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预期目标</w:t>
            </w:r>
          </w:p>
        </w:tc>
        <w:tc>
          <w:tcPr>
            <w:tcW w:w="28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实际完成情况</w:t>
            </w:r>
          </w:p>
        </w:tc>
      </w:tr>
      <w:tr>
        <w:tblPrEx>
          <w:tblCellMar>
            <w:top w:w="0" w:type="dxa"/>
            <w:left w:w="0" w:type="dxa"/>
            <w:bottom w:w="0" w:type="dxa"/>
            <w:right w:w="0" w:type="dxa"/>
          </w:tblCellMar>
        </w:tblPrEx>
        <w:trPr>
          <w:trHeight w:val="72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520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积极性，提升演出质量，增强公共文化服务能力，自治区建立区级文艺院团政府购买演出机制。政府购买演出补助资金优先用于自治区级文艺院团在职人员绩效工资发放和缴纳基本养老保险、职业年金、为了满足艺术生产工作顺利开展以此保障。</w:t>
            </w:r>
          </w:p>
        </w:tc>
        <w:tc>
          <w:tcPr>
            <w:tcW w:w="28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78" w:firstLineChars="0"/>
              <w:jc w:val="left"/>
              <w:textAlignment w:val="center"/>
              <w:rPr>
                <w:rFonts w:hint="eastAsia"/>
                <w:sz w:val="18"/>
                <w:szCs w:val="18"/>
              </w:rPr>
            </w:pPr>
            <w:r>
              <w:rPr>
                <w:rFonts w:hint="eastAsia"/>
                <w:sz w:val="18"/>
                <w:szCs w:val="18"/>
              </w:rPr>
              <w:t>为贯彻落实中央深化国有文艺院团体制改革的精神，进一步推进自治区级文艺院团体制机制创新，理顺院团经费保障渠道，保证院团演出活动的正常运转，调动演职人员的积极性，提高演出质量，增强公共文化服务能力，推进新疆社会稳定和长治久安，以更高的标准推动自治区经济社会又好又快发展。</w:t>
            </w:r>
          </w:p>
          <w:p>
            <w:pPr>
              <w:widowControl/>
              <w:ind w:firstLine="478" w:firstLineChars="0"/>
              <w:jc w:val="left"/>
              <w:textAlignment w:val="center"/>
              <w:rPr>
                <w:sz w:val="18"/>
                <w:szCs w:val="18"/>
              </w:rPr>
            </w:pPr>
            <w:r>
              <w:rPr>
                <w:rFonts w:hint="eastAsia"/>
                <w:sz w:val="18"/>
                <w:szCs w:val="18"/>
              </w:rPr>
              <w:t>政府购买演出资金用于弥补在职人员津补贴、社保费；聘用演员劳务费、惠民演出产生的劳务费、演出设备租赁费、维护费、交通费、演出补助费。</w:t>
            </w:r>
          </w:p>
        </w:tc>
      </w:tr>
      <w:tr>
        <w:tblPrEx>
          <w:tblCellMar>
            <w:top w:w="0" w:type="dxa"/>
            <w:left w:w="0" w:type="dxa"/>
            <w:bottom w:w="0" w:type="dxa"/>
            <w:right w:w="0" w:type="dxa"/>
          </w:tblCellMar>
        </w:tblPrEx>
        <w:trPr>
          <w:trHeight w:val="408"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绩效指标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一级指标</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二级指标</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三级指标</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年度指标值</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实际完成值</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偏差原因分析及改进措施</w:t>
            </w:r>
          </w:p>
        </w:tc>
      </w:tr>
      <w:tr>
        <w:tblPrEx>
          <w:tblCellMar>
            <w:top w:w="0" w:type="dxa"/>
            <w:left w:w="0" w:type="dxa"/>
            <w:bottom w:w="0" w:type="dxa"/>
            <w:right w:w="0" w:type="dxa"/>
          </w:tblCellMar>
        </w:tblPrEx>
        <w:trPr>
          <w:trHeight w:val="40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产出指标</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数量指标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指标1：小型演出场次</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150场</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150场</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lang w:bidi="ar"/>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lang w:bidi="ar"/>
              </w:rPr>
            </w:pPr>
            <w:r>
              <w:rPr>
                <w:kern w:val="0"/>
                <w:sz w:val="18"/>
                <w:szCs w:val="18"/>
                <w:lang w:bidi="ar"/>
              </w:rPr>
              <w:t>数量指标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sz w:val="18"/>
                <w:szCs w:val="18"/>
              </w:rPr>
            </w:pPr>
            <w:r>
              <w:rPr>
                <w:rFonts w:hint="eastAsia"/>
                <w:sz w:val="18"/>
                <w:szCs w:val="18"/>
              </w:rPr>
              <w:t>指标2：弥补人员数量</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139人</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139人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lang w:bidi="ar"/>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lang w:bidi="ar"/>
              </w:rPr>
            </w:pPr>
            <w:r>
              <w:rPr>
                <w:kern w:val="0"/>
                <w:sz w:val="18"/>
                <w:szCs w:val="18"/>
                <w:lang w:bidi="ar"/>
              </w:rPr>
              <w:t>数量指标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sz w:val="18"/>
                <w:szCs w:val="18"/>
              </w:rPr>
            </w:pPr>
            <w:r>
              <w:rPr>
                <w:rFonts w:hint="eastAsia"/>
                <w:sz w:val="18"/>
                <w:szCs w:val="18"/>
              </w:rPr>
              <w:t>指标3：发放次数</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≥12次</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eastAsia="宋体"/>
                <w:sz w:val="18"/>
                <w:szCs w:val="18"/>
                <w:lang w:val="en-US" w:eastAsia="zh-CN"/>
              </w:rPr>
            </w:pPr>
            <w:r>
              <w:rPr>
                <w:rFonts w:hint="eastAsia"/>
                <w:sz w:val="18"/>
                <w:szCs w:val="18"/>
                <w:lang w:val="en-US" w:eastAsia="zh-CN"/>
              </w:rPr>
              <w:t>5次</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lang w:bidi="ar"/>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lang w:bidi="ar"/>
              </w:rPr>
            </w:pPr>
            <w:r>
              <w:rPr>
                <w:kern w:val="0"/>
                <w:sz w:val="18"/>
                <w:szCs w:val="18"/>
                <w:lang w:bidi="ar"/>
              </w:rPr>
              <w:t>质量指标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指标1：演出高质量完成率</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≥95%</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95%</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50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时效指标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指标1：演出活动按时完成率</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100%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100%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50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lang w:bidi="ar"/>
              </w:rPr>
            </w:pPr>
            <w:r>
              <w:rPr>
                <w:kern w:val="0"/>
                <w:sz w:val="18"/>
                <w:szCs w:val="18"/>
                <w:lang w:bidi="ar"/>
              </w:rPr>
              <w:t>时效指标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指标2：人员经费发放及时效率</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95%</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95%</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56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成本指标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指标1：在职人员，聘用人员绩效奖</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182万元</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182万元</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56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kern w:val="0"/>
                <w:sz w:val="18"/>
                <w:szCs w:val="18"/>
                <w:lang w:bidi="ar"/>
              </w:rPr>
            </w:pPr>
            <w:r>
              <w:rPr>
                <w:kern w:val="0"/>
                <w:sz w:val="18"/>
                <w:szCs w:val="18"/>
                <w:lang w:bidi="ar"/>
              </w:rPr>
              <w:t>成本指标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指标2：弥补聘用人员工资</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78万元</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78万元</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62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效益指标</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sz w:val="18"/>
                <w:szCs w:val="18"/>
              </w:rPr>
              <w:t>社会效益指标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指标1：提高各族群众精神文化生活水平</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显著提高</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显著提高</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r>
        <w:tblPrEx>
          <w:tblCellMar>
            <w:top w:w="0" w:type="dxa"/>
            <w:left w:w="0" w:type="dxa"/>
            <w:bottom w:w="0" w:type="dxa"/>
            <w:right w:w="0"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满意度</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kern w:val="0"/>
                <w:sz w:val="18"/>
                <w:szCs w:val="18"/>
                <w:lang w:bidi="ar"/>
              </w:rPr>
              <w:t>服务对象满意度指标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sz w:val="18"/>
                <w:szCs w:val="18"/>
              </w:rPr>
            </w:pPr>
            <w:r>
              <w:rPr>
                <w:rFonts w:hint="eastAsia"/>
                <w:sz w:val="18"/>
                <w:szCs w:val="18"/>
              </w:rPr>
              <w:t>指标1：观看演出群众满意度</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≥90%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sz w:val="18"/>
                <w:szCs w:val="18"/>
              </w:rPr>
            </w:pPr>
            <w:r>
              <w:rPr>
                <w:rFonts w:hint="eastAsia"/>
                <w:sz w:val="18"/>
                <w:szCs w:val="18"/>
              </w:rPr>
              <w:t>90%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sz w:val="18"/>
                <w:szCs w:val="18"/>
              </w:rPr>
            </w:pPr>
          </w:p>
        </w:tc>
      </w:tr>
    </w:tbl>
    <w:p>
      <w:pPr>
        <w:pStyle w:val="2"/>
        <w:jc w:val="both"/>
        <w:rPr>
          <w:rFonts w:ascii="Times New Roman" w:hAnsi="Times New Roman" w:eastAsia="黑体"/>
          <w:b w:val="0"/>
          <w:bCs w:val="0"/>
        </w:rPr>
      </w:pPr>
    </w:p>
    <w:p>
      <w:pPr>
        <w:pStyle w:val="2"/>
        <w:rPr>
          <w:rFonts w:ascii="Times New Roman" w:hAnsi="Times New Roman" w:eastAsia="黑体"/>
          <w:b w:val="0"/>
          <w:bCs w:val="0"/>
        </w:rPr>
      </w:pPr>
    </w:p>
    <w:p>
      <w:pPr>
        <w:pStyle w:val="2"/>
        <w:jc w:val="both"/>
        <w:rPr>
          <w:rFonts w:ascii="Times New Roman" w:hAnsi="Times New Roman"/>
        </w:rPr>
        <w:sectPr>
          <w:pgSz w:w="11906" w:h="16838"/>
          <w:pgMar w:top="1440" w:right="1558" w:bottom="1440" w:left="1800" w:header="851" w:footer="992" w:gutter="0"/>
          <w:cols w:space="425" w:num="1"/>
          <w:docGrid w:type="lines" w:linePitch="312" w:charSpace="0"/>
        </w:sectPr>
      </w:pPr>
    </w:p>
    <w:p>
      <w:pPr>
        <w:spacing w:line="600" w:lineRule="exact"/>
        <w:rPr>
          <w:rFonts w:hint="eastAsia" w:ascii="黑体" w:hAnsi="黑体" w:eastAsia="黑体" w:cs="黑体"/>
        </w:rPr>
      </w:pPr>
      <w:r>
        <w:rPr>
          <w:rFonts w:hint="eastAsia" w:ascii="黑体" w:hAnsi="黑体" w:eastAsia="黑体" w:cs="黑体"/>
          <w:bCs/>
          <w:sz w:val="32"/>
          <w:szCs w:val="32"/>
        </w:rPr>
        <w:t>附件1</w:t>
      </w:r>
    </w:p>
    <w:p>
      <w:pPr>
        <w:pStyle w:val="18"/>
        <w:ind w:firstLine="562"/>
        <w:jc w:val="center"/>
        <w:rPr>
          <w:sz w:val="28"/>
          <w:szCs w:val="40"/>
        </w:rPr>
      </w:pPr>
      <w:bookmarkStart w:id="8" w:name="_Toc30064_WPSOffice_Level1"/>
      <w:bookmarkStart w:id="9" w:name="_Toc26499_WPSOffice_Level2"/>
      <w:r>
        <w:rPr>
          <w:rFonts w:hint="eastAsia"/>
          <w:b/>
          <w:bCs/>
          <w:sz w:val="28"/>
          <w:szCs w:val="40"/>
          <w:lang w:val="en-US" w:eastAsia="zh-CN"/>
        </w:rPr>
        <w:t>自治区本级政府购买演出</w:t>
      </w:r>
      <w:r>
        <w:rPr>
          <w:rFonts w:hint="eastAsia"/>
          <w:b/>
          <w:bCs/>
          <w:sz w:val="28"/>
          <w:szCs w:val="40"/>
        </w:rPr>
        <w:t>项目绩效评价指标体系及综合评分表</w:t>
      </w:r>
      <w:bookmarkEnd w:id="8"/>
      <w:bookmarkEnd w:id="9"/>
    </w:p>
    <w:tbl>
      <w:tblPr>
        <w:tblStyle w:val="13"/>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32"/>
        <w:gridCol w:w="764"/>
        <w:gridCol w:w="873"/>
        <w:gridCol w:w="2353"/>
        <w:gridCol w:w="5198"/>
        <w:gridCol w:w="1300"/>
        <w:gridCol w:w="13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328"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一级指标</w:t>
            </w:r>
          </w:p>
        </w:tc>
        <w:tc>
          <w:tcPr>
            <w:tcW w:w="301"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二级指标</w:t>
            </w:r>
          </w:p>
        </w:tc>
        <w:tc>
          <w:tcPr>
            <w:tcW w:w="344"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三级指标</w:t>
            </w:r>
          </w:p>
        </w:tc>
        <w:tc>
          <w:tcPr>
            <w:tcW w:w="927"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指标解释</w:t>
            </w:r>
          </w:p>
        </w:tc>
        <w:tc>
          <w:tcPr>
            <w:tcW w:w="2048"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指标说明</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权重</w:t>
            </w:r>
          </w:p>
        </w:tc>
        <w:tc>
          <w:tcPr>
            <w:tcW w:w="537"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28" w:type="pct"/>
            <w:vMerge w:val="restart"/>
            <w:shd w:val="clear" w:color="auto" w:fill="FFFFFF"/>
            <w:vAlign w:val="center"/>
          </w:tcPr>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r>
              <w:rPr>
                <w:color w:val="000000"/>
                <w:kern w:val="0"/>
                <w:sz w:val="22"/>
                <w:szCs w:val="22"/>
              </w:rPr>
              <w:t>决策　</w:t>
            </w: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项目立项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立项依据</w:t>
            </w:r>
          </w:p>
          <w:p>
            <w:pPr>
              <w:widowControl/>
              <w:spacing w:line="0" w:lineRule="atLeast"/>
              <w:jc w:val="center"/>
              <w:rPr>
                <w:color w:val="000000"/>
                <w:kern w:val="0"/>
                <w:sz w:val="22"/>
                <w:szCs w:val="22"/>
              </w:rPr>
            </w:pPr>
            <w:r>
              <w:rPr>
                <w:color w:val="000000"/>
                <w:kern w:val="0"/>
                <w:sz w:val="22"/>
                <w:szCs w:val="22"/>
              </w:rPr>
              <w:t>充分性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项目立项是否符合法律法规、相关政策、发展规划以及部门职责，用以反映和考核项目立项依据情况。</w:t>
            </w:r>
          </w:p>
        </w:tc>
        <w:tc>
          <w:tcPr>
            <w:tcW w:w="2048" w:type="pct"/>
            <w:shd w:val="clear" w:color="auto"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①项目立项是否符合国家法律法规、国民经济发展规划和相关政策；</w:t>
            </w:r>
            <w:r>
              <w:rPr>
                <w:color w:val="000000"/>
                <w:kern w:val="0"/>
                <w:sz w:val="22"/>
                <w:szCs w:val="22"/>
              </w:rPr>
              <w:br w:type="textWrapping"/>
            </w:r>
            <w:r>
              <w:rPr>
                <w:color w:val="000000"/>
                <w:kern w:val="0"/>
                <w:sz w:val="22"/>
                <w:szCs w:val="22"/>
              </w:rPr>
              <w:t>②项目立项是否符合行业发展规划和政策要求；</w:t>
            </w:r>
            <w:r>
              <w:rPr>
                <w:color w:val="000000"/>
                <w:kern w:val="0"/>
                <w:sz w:val="22"/>
                <w:szCs w:val="22"/>
              </w:rPr>
              <w:br w:type="textWrapping"/>
            </w:r>
            <w:r>
              <w:rPr>
                <w:color w:val="000000"/>
                <w:kern w:val="0"/>
                <w:sz w:val="22"/>
                <w:szCs w:val="22"/>
              </w:rPr>
              <w:t>③项目立项是否与部门职责范围相符，属于部门履职所需；</w:t>
            </w:r>
            <w:r>
              <w:rPr>
                <w:color w:val="000000"/>
                <w:kern w:val="0"/>
                <w:sz w:val="22"/>
                <w:szCs w:val="22"/>
              </w:rPr>
              <w:br w:type="textWrapping"/>
            </w:r>
            <w:r>
              <w:rPr>
                <w:color w:val="000000"/>
                <w:kern w:val="0"/>
                <w:sz w:val="22"/>
                <w:szCs w:val="22"/>
              </w:rPr>
              <w:t>④项目是否属于公共财政支持范围，是否符合中央、地方事权支出责任划分原则；</w:t>
            </w:r>
            <w:r>
              <w:rPr>
                <w:color w:val="000000"/>
                <w:kern w:val="0"/>
                <w:sz w:val="22"/>
                <w:szCs w:val="22"/>
              </w:rPr>
              <w:br w:type="textWrapping"/>
            </w:r>
            <w:r>
              <w:rPr>
                <w:color w:val="000000"/>
                <w:kern w:val="0"/>
                <w:sz w:val="22"/>
                <w:szCs w:val="22"/>
              </w:rPr>
              <w:t>⑤项目是否与相关部门同类项目或部门内部相关项目重复。</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auto" w:fill="FFFFFF"/>
            <w:vAlign w:val="center"/>
          </w:tcPr>
          <w:p>
            <w:pPr>
              <w:widowControl/>
              <w:spacing w:line="0" w:lineRule="atLeast"/>
              <w:jc w:val="center"/>
              <w:rPr>
                <w:rFonts w:hint="eastAsia" w:eastAsia="宋体"/>
                <w:b/>
                <w:bCs/>
                <w:color w:val="000000"/>
                <w:kern w:val="0"/>
                <w:sz w:val="22"/>
                <w:szCs w:val="22"/>
                <w:lang w:val="en-US" w:eastAsia="zh-CN"/>
              </w:rPr>
            </w:pPr>
            <w:r>
              <w:rPr>
                <w:rFonts w:hint="eastAsia"/>
                <w:b/>
                <w:bCs/>
                <w:color w:val="000000"/>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立项程序</w:t>
            </w:r>
          </w:p>
          <w:p>
            <w:pPr>
              <w:widowControl/>
              <w:spacing w:line="0" w:lineRule="atLeast"/>
              <w:jc w:val="center"/>
              <w:rPr>
                <w:color w:val="000000"/>
                <w:kern w:val="0"/>
                <w:sz w:val="22"/>
                <w:szCs w:val="22"/>
              </w:rPr>
            </w:pPr>
            <w:r>
              <w:rPr>
                <w:color w:val="000000"/>
                <w:kern w:val="0"/>
                <w:sz w:val="22"/>
                <w:szCs w:val="22"/>
              </w:rPr>
              <w:t>规范性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项目申请、设立过程是否符合相关要求，用以反映和考核项目立项的规范情况。</w:t>
            </w:r>
          </w:p>
        </w:tc>
        <w:tc>
          <w:tcPr>
            <w:tcW w:w="2048" w:type="pct"/>
            <w:shd w:val="clear" w:color="auto"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①项目是否按照规定的程序申请设立；</w:t>
            </w:r>
            <w:r>
              <w:rPr>
                <w:color w:val="000000"/>
                <w:kern w:val="0"/>
                <w:sz w:val="22"/>
                <w:szCs w:val="22"/>
              </w:rPr>
              <w:br w:type="textWrapping"/>
            </w:r>
            <w:r>
              <w:rPr>
                <w:color w:val="000000"/>
                <w:kern w:val="0"/>
                <w:sz w:val="22"/>
                <w:szCs w:val="22"/>
              </w:rPr>
              <w:t>②审批文件、材料是否符合相关要求；</w:t>
            </w:r>
            <w:r>
              <w:rPr>
                <w:color w:val="000000"/>
                <w:kern w:val="0"/>
                <w:sz w:val="22"/>
                <w:szCs w:val="22"/>
              </w:rPr>
              <w:br w:type="textWrapping"/>
            </w:r>
            <w:r>
              <w:rPr>
                <w:color w:val="000000"/>
                <w:kern w:val="0"/>
                <w:sz w:val="22"/>
                <w:szCs w:val="22"/>
              </w:rPr>
              <w:t>③事前是否已经过必要的可行性研究、专家论证、风险评估、绩效评估、集体决策。</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auto" w:fill="FFFFFF"/>
            <w:vAlign w:val="center"/>
          </w:tcPr>
          <w:p>
            <w:pPr>
              <w:widowControl/>
              <w:spacing w:line="0" w:lineRule="atLeast"/>
              <w:jc w:val="center"/>
              <w:rPr>
                <w:rFonts w:hint="eastAsia" w:eastAsia="宋体"/>
                <w:b/>
                <w:bCs/>
                <w:color w:val="000000"/>
                <w:kern w:val="0"/>
                <w:sz w:val="22"/>
                <w:szCs w:val="22"/>
                <w:lang w:val="en-US" w:eastAsia="zh-CN"/>
              </w:rPr>
            </w:pPr>
            <w:r>
              <w:rPr>
                <w:rFonts w:hint="eastAsia"/>
                <w:b/>
                <w:bCs/>
                <w:color w:val="000000"/>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绩效目标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绩效目标</w:t>
            </w:r>
          </w:p>
          <w:p>
            <w:pPr>
              <w:widowControl/>
              <w:spacing w:line="0" w:lineRule="atLeast"/>
              <w:jc w:val="center"/>
              <w:rPr>
                <w:color w:val="000000"/>
                <w:kern w:val="0"/>
                <w:sz w:val="22"/>
                <w:szCs w:val="22"/>
              </w:rPr>
            </w:pPr>
            <w:r>
              <w:rPr>
                <w:color w:val="000000"/>
                <w:kern w:val="0"/>
                <w:sz w:val="22"/>
                <w:szCs w:val="22"/>
              </w:rPr>
              <w:t>合理性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项目所设定的绩效目标是否依据充分，是否符合客观实际，用以反映和考核项目绩效目标与项目实施的相符情况。</w:t>
            </w:r>
          </w:p>
        </w:tc>
        <w:tc>
          <w:tcPr>
            <w:tcW w:w="2048" w:type="pct"/>
            <w:shd w:val="clear" w:color="000000"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（如未设定预算绩效目标，也可考核其他工作任务目标）</w:t>
            </w:r>
            <w:r>
              <w:rPr>
                <w:color w:val="000000"/>
                <w:kern w:val="0"/>
                <w:sz w:val="22"/>
                <w:szCs w:val="22"/>
              </w:rPr>
              <w:br w:type="textWrapping"/>
            </w:r>
            <w:r>
              <w:rPr>
                <w:color w:val="000000"/>
                <w:kern w:val="0"/>
                <w:sz w:val="22"/>
                <w:szCs w:val="22"/>
              </w:rPr>
              <w:t>①项目是否有绩效目标；</w:t>
            </w:r>
            <w:r>
              <w:rPr>
                <w:color w:val="000000"/>
                <w:kern w:val="0"/>
                <w:sz w:val="22"/>
                <w:szCs w:val="22"/>
              </w:rPr>
              <w:br w:type="textWrapping"/>
            </w:r>
            <w:r>
              <w:rPr>
                <w:color w:val="000000"/>
                <w:kern w:val="0"/>
                <w:sz w:val="22"/>
                <w:szCs w:val="22"/>
              </w:rPr>
              <w:t>②项目绩效目标与实际工作内容是否具有相关性；</w:t>
            </w:r>
            <w:r>
              <w:rPr>
                <w:color w:val="000000"/>
                <w:kern w:val="0"/>
                <w:sz w:val="22"/>
                <w:szCs w:val="22"/>
              </w:rPr>
              <w:br w:type="textWrapping"/>
            </w:r>
            <w:r>
              <w:rPr>
                <w:color w:val="000000"/>
                <w:kern w:val="0"/>
                <w:sz w:val="22"/>
                <w:szCs w:val="22"/>
              </w:rPr>
              <w:t>③项目预期产出效益和效果是否符合正常的业绩水平；</w:t>
            </w:r>
          </w:p>
          <w:p>
            <w:pPr>
              <w:widowControl/>
              <w:spacing w:line="0" w:lineRule="atLeast"/>
              <w:jc w:val="left"/>
              <w:rPr>
                <w:color w:val="000000"/>
                <w:kern w:val="0"/>
                <w:sz w:val="22"/>
                <w:szCs w:val="22"/>
              </w:rPr>
            </w:pPr>
            <w:r>
              <w:rPr>
                <w:color w:val="000000"/>
                <w:kern w:val="0"/>
                <w:sz w:val="22"/>
                <w:szCs w:val="22"/>
              </w:rPr>
              <w:t>④是否与预算确定的项目投资额或资金量相匹配。</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000000" w:fill="FFFFFF"/>
            <w:vAlign w:val="center"/>
          </w:tcPr>
          <w:p>
            <w:pPr>
              <w:widowControl/>
              <w:spacing w:line="0" w:lineRule="atLeast"/>
              <w:jc w:val="center"/>
              <w:rPr>
                <w:rFonts w:hint="eastAsia" w:eastAsia="宋体"/>
                <w:b/>
                <w:bCs/>
                <w:color w:val="000000"/>
                <w:kern w:val="0"/>
                <w:sz w:val="22"/>
                <w:szCs w:val="22"/>
                <w:lang w:val="en-US" w:eastAsia="zh-CN"/>
              </w:rPr>
            </w:pPr>
            <w:r>
              <w:rPr>
                <w:rFonts w:hint="eastAsia"/>
                <w:b/>
                <w:bCs/>
                <w:color w:val="000000"/>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绩效指标</w:t>
            </w:r>
          </w:p>
          <w:p>
            <w:pPr>
              <w:widowControl/>
              <w:spacing w:line="0" w:lineRule="atLeast"/>
              <w:jc w:val="center"/>
              <w:rPr>
                <w:color w:val="000000"/>
                <w:kern w:val="0"/>
                <w:sz w:val="22"/>
                <w:szCs w:val="22"/>
              </w:rPr>
            </w:pPr>
            <w:r>
              <w:rPr>
                <w:color w:val="000000"/>
                <w:kern w:val="0"/>
                <w:sz w:val="22"/>
                <w:szCs w:val="22"/>
              </w:rPr>
              <w:t>明确性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依据绩效目标设定的绩效指标是否清晰、细化、可衡量等，用以反映和考核项目绩效目标的明细化情况。</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①是否将项目绩效目标细化分解为具体的绩效指标；</w:t>
            </w:r>
            <w:r>
              <w:rPr>
                <w:color w:val="000000"/>
                <w:kern w:val="0"/>
                <w:sz w:val="22"/>
                <w:szCs w:val="22"/>
              </w:rPr>
              <w:br w:type="textWrapping"/>
            </w:r>
            <w:r>
              <w:rPr>
                <w:color w:val="000000"/>
                <w:kern w:val="0"/>
                <w:sz w:val="22"/>
                <w:szCs w:val="22"/>
              </w:rPr>
              <w:t>②是否通过清晰、可衡量的指标值予以体现；</w:t>
            </w:r>
            <w:r>
              <w:rPr>
                <w:color w:val="000000"/>
                <w:kern w:val="0"/>
                <w:sz w:val="22"/>
                <w:szCs w:val="22"/>
              </w:rPr>
              <w:br w:type="textWrapping"/>
            </w:r>
            <w:r>
              <w:rPr>
                <w:color w:val="000000"/>
                <w:kern w:val="0"/>
                <w:sz w:val="22"/>
                <w:szCs w:val="22"/>
              </w:rPr>
              <w:t>③是否与项目目标任务数或计划数相对应。</w:t>
            </w:r>
            <w:r>
              <w:rPr>
                <w:color w:val="000000"/>
                <w:kern w:val="0"/>
                <w:sz w:val="22"/>
                <w:szCs w:val="22"/>
              </w:rPr>
              <w:br w:type="textWrapping"/>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000000" w:fill="FFFFFF"/>
            <w:vAlign w:val="center"/>
          </w:tcPr>
          <w:p>
            <w:pPr>
              <w:widowControl/>
              <w:spacing w:line="0" w:lineRule="atLeast"/>
              <w:jc w:val="center"/>
              <w:rPr>
                <w:rFonts w:hint="eastAsia" w:eastAsia="宋体"/>
                <w:b/>
                <w:bCs/>
                <w:color w:val="000000"/>
                <w:kern w:val="0"/>
                <w:sz w:val="22"/>
                <w:szCs w:val="22"/>
                <w:lang w:val="en-US" w:eastAsia="zh-CN"/>
              </w:rPr>
            </w:pPr>
            <w:r>
              <w:rPr>
                <w:rFonts w:hint="eastAsia"/>
                <w:b/>
                <w:bCs/>
                <w:color w:val="000000"/>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资金投入</w:t>
            </w:r>
          </w:p>
          <w:p>
            <w:pPr>
              <w:spacing w:line="0" w:lineRule="atLeast"/>
              <w:jc w:val="center"/>
              <w:rPr>
                <w:color w:val="000000"/>
                <w:kern w:val="0"/>
                <w:sz w:val="22"/>
                <w:szCs w:val="22"/>
              </w:rPr>
            </w:pPr>
            <w:r>
              <w:rPr>
                <w:color w:val="000000"/>
                <w:kern w:val="0"/>
                <w:sz w:val="22"/>
                <w:szCs w:val="22"/>
              </w:rPr>
              <w:t>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预算编制</w:t>
            </w:r>
          </w:p>
          <w:p>
            <w:pPr>
              <w:widowControl/>
              <w:spacing w:line="0" w:lineRule="atLeast"/>
              <w:jc w:val="center"/>
              <w:rPr>
                <w:color w:val="000000"/>
                <w:kern w:val="0"/>
                <w:sz w:val="22"/>
                <w:szCs w:val="22"/>
              </w:rPr>
            </w:pPr>
            <w:r>
              <w:rPr>
                <w:color w:val="000000"/>
                <w:kern w:val="0"/>
                <w:sz w:val="22"/>
                <w:szCs w:val="22"/>
              </w:rPr>
              <w:t>科学性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项目预算编制是否经过科学论证、有明确标准，资金额度与年度目标是否相适应，用以反映和考核项目预算编制的科学性、合理性情况。</w:t>
            </w:r>
          </w:p>
        </w:tc>
        <w:tc>
          <w:tcPr>
            <w:tcW w:w="2048" w:type="pct"/>
            <w:shd w:val="clear" w:color="auto"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①预算编制是否经过科学论证；</w:t>
            </w:r>
            <w:r>
              <w:rPr>
                <w:color w:val="000000"/>
                <w:kern w:val="0"/>
                <w:sz w:val="22"/>
                <w:szCs w:val="22"/>
              </w:rPr>
              <w:br w:type="textWrapping"/>
            </w:r>
            <w:r>
              <w:rPr>
                <w:color w:val="000000"/>
                <w:kern w:val="0"/>
                <w:sz w:val="22"/>
                <w:szCs w:val="22"/>
              </w:rPr>
              <w:t>②预算内容与项目内容是否匹配；</w:t>
            </w:r>
            <w:r>
              <w:rPr>
                <w:color w:val="000000"/>
                <w:kern w:val="0"/>
                <w:sz w:val="22"/>
                <w:szCs w:val="22"/>
              </w:rPr>
              <w:br w:type="textWrapping"/>
            </w:r>
            <w:r>
              <w:rPr>
                <w:color w:val="000000"/>
                <w:kern w:val="0"/>
                <w:sz w:val="22"/>
                <w:szCs w:val="22"/>
              </w:rPr>
              <w:t>③预算额度测算依据是否充分，是否按照标准编制；</w:t>
            </w:r>
            <w:r>
              <w:rPr>
                <w:color w:val="000000"/>
                <w:kern w:val="0"/>
                <w:sz w:val="22"/>
                <w:szCs w:val="22"/>
              </w:rPr>
              <w:br w:type="textWrapping"/>
            </w:r>
            <w:r>
              <w:rPr>
                <w:color w:val="000000"/>
                <w:kern w:val="0"/>
                <w:sz w:val="22"/>
                <w:szCs w:val="22"/>
              </w:rPr>
              <w:t>④预算确定的项目投资额或资金量是否与工作任务相匹配。</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rFonts w:hint="default" w:eastAsia="宋体"/>
                <w:b/>
                <w:bCs/>
                <w:color w:val="000000"/>
                <w:kern w:val="0"/>
                <w:sz w:val="22"/>
                <w:szCs w:val="22"/>
                <w:lang w:val="en-US" w:eastAsia="zh-CN"/>
              </w:rPr>
            </w:pPr>
            <w:r>
              <w:rPr>
                <w:rFonts w:hint="eastAsia"/>
                <w:b/>
                <w:bCs/>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资金分配</w:t>
            </w:r>
          </w:p>
          <w:p>
            <w:pPr>
              <w:widowControl/>
              <w:spacing w:line="0" w:lineRule="atLeast"/>
              <w:jc w:val="center"/>
              <w:rPr>
                <w:color w:val="000000"/>
                <w:kern w:val="0"/>
                <w:sz w:val="22"/>
                <w:szCs w:val="22"/>
              </w:rPr>
            </w:pPr>
            <w:r>
              <w:rPr>
                <w:color w:val="000000"/>
                <w:kern w:val="0"/>
                <w:sz w:val="22"/>
                <w:szCs w:val="22"/>
              </w:rPr>
              <w:t>合理性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项目预算资金分配是否有测算依据，与补助单位或地方实际是否相适应，用以反映和考核项目预算资金分配的科学性、合理性情况。</w:t>
            </w:r>
          </w:p>
        </w:tc>
        <w:tc>
          <w:tcPr>
            <w:tcW w:w="2048" w:type="pct"/>
            <w:shd w:val="clear" w:color="auto"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①预算资金分配依据是否充分；</w:t>
            </w:r>
            <w:r>
              <w:rPr>
                <w:color w:val="000000"/>
                <w:kern w:val="0"/>
                <w:sz w:val="22"/>
                <w:szCs w:val="22"/>
              </w:rPr>
              <w:br w:type="textWrapping"/>
            </w:r>
            <w:r>
              <w:rPr>
                <w:color w:val="000000"/>
                <w:kern w:val="0"/>
                <w:sz w:val="22"/>
                <w:szCs w:val="22"/>
              </w:rPr>
              <w:t>②资金分配额度是否合理，与项目单位或地方实际是否相适应。</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rFonts w:hint="eastAsia" w:eastAsia="宋体"/>
                <w:b/>
                <w:bCs/>
                <w:color w:val="000000"/>
                <w:kern w:val="0"/>
                <w:sz w:val="22"/>
                <w:szCs w:val="22"/>
                <w:lang w:val="en-US" w:eastAsia="zh-CN"/>
              </w:rPr>
            </w:pPr>
            <w:r>
              <w:rPr>
                <w:rFonts w:hint="eastAsia"/>
                <w:b/>
                <w:bCs/>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28" w:type="pct"/>
            <w:vMerge w:val="restart"/>
            <w:shd w:val="clear" w:color="auto" w:fill="FFFFFF"/>
            <w:vAlign w:val="center"/>
          </w:tcPr>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r>
              <w:rPr>
                <w:color w:val="000000"/>
                <w:kern w:val="0"/>
                <w:sz w:val="22"/>
                <w:szCs w:val="22"/>
              </w:rPr>
              <w:t>过程</w:t>
            </w:r>
          </w:p>
          <w:p>
            <w:pPr>
              <w:widowControl/>
              <w:spacing w:line="0" w:lineRule="atLeast"/>
              <w:jc w:val="center"/>
              <w:rPr>
                <w:color w:val="000000"/>
                <w:kern w:val="0"/>
                <w:sz w:val="22"/>
                <w:szCs w:val="22"/>
              </w:rPr>
            </w:pPr>
            <w:r>
              <w:rPr>
                <w:color w:val="000000"/>
                <w:kern w:val="0"/>
                <w:sz w:val="22"/>
                <w:szCs w:val="22"/>
              </w:rPr>
              <w:t>　　</w:t>
            </w: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资金管理</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资金到位率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实际到位资金与预算资金的比率，用以反映和考核资金落实情况对项目实施的总体保障程度。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资金到位率=（实际到位资金/预算资金）×100%。</w:t>
            </w:r>
          </w:p>
          <w:p>
            <w:pPr>
              <w:widowControl/>
              <w:spacing w:line="0" w:lineRule="atLeast"/>
              <w:rPr>
                <w:color w:val="000000"/>
                <w:kern w:val="0"/>
                <w:sz w:val="22"/>
                <w:szCs w:val="22"/>
              </w:rPr>
            </w:pPr>
            <w:r>
              <w:rPr>
                <w:color w:val="000000"/>
                <w:kern w:val="0"/>
                <w:sz w:val="22"/>
                <w:szCs w:val="22"/>
              </w:rPr>
              <w:t>实际到位资金：一定时期（本年度或项目期）内落实到具体项目的资金。</w:t>
            </w:r>
          </w:p>
          <w:p>
            <w:pPr>
              <w:widowControl/>
              <w:spacing w:line="0" w:lineRule="atLeast"/>
              <w:rPr>
                <w:color w:val="000000"/>
                <w:kern w:val="0"/>
                <w:sz w:val="22"/>
                <w:szCs w:val="22"/>
              </w:rPr>
            </w:pPr>
            <w:r>
              <w:rPr>
                <w:color w:val="000000"/>
                <w:kern w:val="0"/>
                <w:sz w:val="22"/>
                <w:szCs w:val="22"/>
              </w:rPr>
              <w:t>预算资金：一定时期（本年度或项目期）内预算安排到具体项目的资金。</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rFonts w:hint="eastAsia" w:eastAsia="宋体"/>
                <w:b/>
                <w:bCs/>
                <w:color w:val="000000"/>
                <w:kern w:val="0"/>
                <w:sz w:val="22"/>
                <w:szCs w:val="22"/>
                <w:lang w:val="en-US" w:eastAsia="zh-CN"/>
              </w:rPr>
            </w:pPr>
            <w:r>
              <w:rPr>
                <w:rFonts w:hint="eastAsia"/>
                <w:b/>
                <w:bCs/>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320"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vMerge w:val="continue"/>
            <w:shd w:val="clear" w:color="auto" w:fill="FFFFFF"/>
            <w:vAlign w:val="center"/>
          </w:tcPr>
          <w:p>
            <w:pPr>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预算执行率</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项目预算资金是否按照计划执行，用以反映或考核项目预算执行情况。</w:t>
            </w:r>
          </w:p>
        </w:tc>
        <w:tc>
          <w:tcPr>
            <w:tcW w:w="2048" w:type="pct"/>
            <w:shd w:val="clear" w:color="auto" w:fill="FFFFFF"/>
            <w:vAlign w:val="center"/>
          </w:tcPr>
          <w:p>
            <w:pPr>
              <w:widowControl/>
              <w:spacing w:line="0" w:lineRule="atLeast"/>
              <w:rPr>
                <w:color w:val="000000"/>
                <w:kern w:val="0"/>
                <w:sz w:val="22"/>
                <w:szCs w:val="22"/>
              </w:rPr>
            </w:pPr>
            <w:r>
              <w:rPr>
                <w:color w:val="000000"/>
                <w:kern w:val="0"/>
                <w:sz w:val="22"/>
                <w:szCs w:val="22"/>
              </w:rPr>
              <w:t>预算执行率=（实际支出资金/实际到位资金）×100%。</w:t>
            </w:r>
            <w:r>
              <w:rPr>
                <w:color w:val="000000"/>
                <w:kern w:val="0"/>
                <w:sz w:val="22"/>
                <w:szCs w:val="22"/>
              </w:rPr>
              <w:br w:type="textWrapping"/>
            </w:r>
            <w:r>
              <w:rPr>
                <w:color w:val="000000"/>
                <w:kern w:val="0"/>
                <w:sz w:val="22"/>
                <w:szCs w:val="22"/>
              </w:rPr>
              <w:t>实际支出资金：一定时期（本年度或项目期）内项目实际拨付的资金。</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rFonts w:hint="eastAsia" w:eastAsia="宋体"/>
                <w:b/>
                <w:bCs/>
                <w:color w:val="000000"/>
                <w:kern w:val="0"/>
                <w:sz w:val="22"/>
                <w:szCs w:val="22"/>
                <w:lang w:val="en-US" w:eastAsia="zh-CN"/>
              </w:rPr>
            </w:pPr>
            <w:r>
              <w:rPr>
                <w:rFonts w:hint="eastAsia"/>
                <w:b/>
                <w:bCs/>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资金管理</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资金使用</w:t>
            </w:r>
          </w:p>
          <w:p>
            <w:pPr>
              <w:widowControl/>
              <w:spacing w:line="0" w:lineRule="atLeast"/>
              <w:jc w:val="center"/>
              <w:rPr>
                <w:color w:val="000000"/>
                <w:kern w:val="0"/>
                <w:sz w:val="22"/>
                <w:szCs w:val="22"/>
              </w:rPr>
            </w:pPr>
            <w:r>
              <w:rPr>
                <w:color w:val="000000"/>
                <w:kern w:val="0"/>
                <w:sz w:val="22"/>
                <w:szCs w:val="22"/>
              </w:rPr>
              <w:t>合规性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项目资金使用是否符合相关的财务管理制度规定，用以反映和考核项目资金的规范运行情况。</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①是否符合国家财经法规和财务管理制度以及有关专项资金管理办法的规定；</w:t>
            </w:r>
            <w:r>
              <w:rPr>
                <w:color w:val="000000"/>
                <w:kern w:val="0"/>
                <w:sz w:val="22"/>
                <w:szCs w:val="22"/>
              </w:rPr>
              <w:br w:type="textWrapping"/>
            </w:r>
            <w:r>
              <w:rPr>
                <w:color w:val="000000"/>
                <w:kern w:val="0"/>
                <w:sz w:val="22"/>
                <w:szCs w:val="22"/>
              </w:rPr>
              <w:t>②资金的拨付是否有完整的审批程序和手续；</w:t>
            </w:r>
            <w:r>
              <w:rPr>
                <w:color w:val="000000"/>
                <w:kern w:val="0"/>
                <w:sz w:val="22"/>
                <w:szCs w:val="22"/>
              </w:rPr>
              <w:br w:type="textWrapping"/>
            </w:r>
            <w:r>
              <w:rPr>
                <w:color w:val="000000"/>
                <w:kern w:val="0"/>
                <w:sz w:val="22"/>
                <w:szCs w:val="22"/>
              </w:rPr>
              <w:t>③是否符合项目预算批复或合同规定的用途；</w:t>
            </w:r>
            <w:r>
              <w:rPr>
                <w:color w:val="000000"/>
                <w:kern w:val="0"/>
                <w:sz w:val="22"/>
                <w:szCs w:val="22"/>
              </w:rPr>
              <w:br w:type="textWrapping"/>
            </w:r>
            <w:r>
              <w:rPr>
                <w:color w:val="000000"/>
                <w:kern w:val="0"/>
                <w:sz w:val="22"/>
                <w:szCs w:val="22"/>
              </w:rPr>
              <w:t>④是否存在截留、挤占、挪用、虚列支出等情况。</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rFonts w:hint="eastAsia" w:eastAsia="宋体"/>
                <w:b/>
                <w:bCs/>
                <w:color w:val="000000"/>
                <w:kern w:val="0"/>
                <w:sz w:val="22"/>
                <w:szCs w:val="22"/>
                <w:lang w:val="en-US" w:eastAsia="zh-CN"/>
              </w:rPr>
            </w:pPr>
            <w:r>
              <w:rPr>
                <w:rFonts w:hint="eastAsia"/>
                <w:b/>
                <w:bCs/>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组织实施</w:t>
            </w:r>
          </w:p>
          <w:p>
            <w:pPr>
              <w:spacing w:line="0" w:lineRule="atLeast"/>
              <w:jc w:val="center"/>
              <w:rPr>
                <w:color w:val="000000"/>
                <w:kern w:val="0"/>
                <w:sz w:val="22"/>
                <w:szCs w:val="22"/>
              </w:rPr>
            </w:pPr>
            <w:r>
              <w:rPr>
                <w:color w:val="000000"/>
                <w:kern w:val="0"/>
                <w:sz w:val="22"/>
                <w:szCs w:val="22"/>
              </w:rPr>
              <w:t>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管理制度</w:t>
            </w:r>
          </w:p>
          <w:p>
            <w:pPr>
              <w:widowControl/>
              <w:spacing w:line="0" w:lineRule="atLeast"/>
              <w:jc w:val="center"/>
              <w:rPr>
                <w:color w:val="000000"/>
                <w:kern w:val="0"/>
                <w:sz w:val="22"/>
                <w:szCs w:val="22"/>
              </w:rPr>
            </w:pPr>
            <w:r>
              <w:rPr>
                <w:color w:val="000000"/>
                <w:kern w:val="0"/>
                <w:sz w:val="22"/>
                <w:szCs w:val="22"/>
              </w:rPr>
              <w:t>健全性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项目实施单位的财务和业务管理制度是否健全，用以反映和考核财务和业务管理制度对项目顺利实施的保障情况。</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①是否已制定或具有相应的财务和业务管理制度；</w:t>
            </w:r>
            <w:r>
              <w:rPr>
                <w:color w:val="000000"/>
                <w:kern w:val="0"/>
                <w:sz w:val="22"/>
                <w:szCs w:val="22"/>
              </w:rPr>
              <w:br w:type="textWrapping"/>
            </w:r>
            <w:r>
              <w:rPr>
                <w:color w:val="000000"/>
                <w:kern w:val="0"/>
                <w:sz w:val="22"/>
                <w:szCs w:val="22"/>
              </w:rPr>
              <w:t>②财务和业务管理制度是否合法、合规、完整。</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rFonts w:hint="eastAsia" w:eastAsia="宋体"/>
                <w:b/>
                <w:bCs/>
                <w:color w:val="000000"/>
                <w:kern w:val="0"/>
                <w:sz w:val="22"/>
                <w:szCs w:val="22"/>
                <w:lang w:val="en-US" w:eastAsia="zh-CN"/>
              </w:rPr>
            </w:pPr>
            <w:r>
              <w:rPr>
                <w:rFonts w:hint="eastAsia"/>
                <w:b/>
                <w:bCs/>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制度执行</w:t>
            </w:r>
          </w:p>
          <w:p>
            <w:pPr>
              <w:widowControl/>
              <w:spacing w:line="0" w:lineRule="atLeast"/>
              <w:jc w:val="center"/>
              <w:rPr>
                <w:color w:val="000000"/>
                <w:kern w:val="0"/>
                <w:sz w:val="22"/>
                <w:szCs w:val="22"/>
              </w:rPr>
            </w:pPr>
            <w:r>
              <w:rPr>
                <w:color w:val="000000"/>
                <w:kern w:val="0"/>
                <w:sz w:val="22"/>
                <w:szCs w:val="22"/>
              </w:rPr>
              <w:t>有效性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项目实施是否符合相关管理规定，用以反映和考核相关管理制度的有效执行情况。</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①是否遵守相关法律法规和相关管理规定；</w:t>
            </w:r>
            <w:r>
              <w:rPr>
                <w:color w:val="000000"/>
                <w:kern w:val="0"/>
                <w:sz w:val="22"/>
                <w:szCs w:val="22"/>
              </w:rPr>
              <w:br w:type="textWrapping"/>
            </w:r>
            <w:r>
              <w:rPr>
                <w:color w:val="000000"/>
                <w:kern w:val="0"/>
                <w:sz w:val="22"/>
                <w:szCs w:val="22"/>
              </w:rPr>
              <w:t>②项目调整及支出调整手续是否完备；</w:t>
            </w:r>
            <w:r>
              <w:rPr>
                <w:color w:val="000000"/>
                <w:kern w:val="0"/>
                <w:sz w:val="22"/>
                <w:szCs w:val="22"/>
              </w:rPr>
              <w:br w:type="textWrapping"/>
            </w:r>
            <w:r>
              <w:rPr>
                <w:color w:val="000000"/>
                <w:kern w:val="0"/>
                <w:sz w:val="22"/>
                <w:szCs w:val="22"/>
              </w:rPr>
              <w:t>③项目合同书、验收报告、技术鉴定等资料是否齐全并及时归档；</w:t>
            </w:r>
            <w:r>
              <w:rPr>
                <w:color w:val="000000"/>
                <w:kern w:val="0"/>
                <w:sz w:val="22"/>
                <w:szCs w:val="22"/>
              </w:rPr>
              <w:br w:type="textWrapping"/>
            </w:r>
            <w:r>
              <w:rPr>
                <w:color w:val="000000"/>
                <w:kern w:val="0"/>
                <w:sz w:val="22"/>
                <w:szCs w:val="22"/>
              </w:rPr>
              <w:t>④项目实施的人员条件、场地设备、信息支撑等是否落实到位。</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rFonts w:hint="eastAsia" w:eastAsia="宋体"/>
                <w:b/>
                <w:bCs/>
                <w:color w:val="000000"/>
                <w:kern w:val="0"/>
                <w:sz w:val="22"/>
                <w:szCs w:val="22"/>
                <w:lang w:val="en-US" w:eastAsia="zh-CN"/>
              </w:rPr>
            </w:pPr>
            <w:r>
              <w:rPr>
                <w:rFonts w:hint="eastAsia"/>
                <w:b/>
                <w:bCs/>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28"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产出</w:t>
            </w:r>
          </w:p>
        </w:tc>
        <w:tc>
          <w:tcPr>
            <w:tcW w:w="30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产出数量</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实际完成率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项目实施的实际产出数与计划产出数的比率，用以反映和考核项目产出数量目标的实现程度。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实际完成率=（实际产出数/计划产出数）×100%。</w:t>
            </w:r>
            <w:r>
              <w:rPr>
                <w:color w:val="000000"/>
                <w:kern w:val="0"/>
                <w:sz w:val="22"/>
                <w:szCs w:val="22"/>
              </w:rPr>
              <w:br w:type="textWrapping"/>
            </w:r>
            <w:r>
              <w:rPr>
                <w:color w:val="000000"/>
                <w:kern w:val="0"/>
                <w:sz w:val="22"/>
                <w:szCs w:val="22"/>
              </w:rPr>
              <w:t>实际产出数：一定时期（本年度或项目期）内项目实际产出的产品或提供的服务数量。</w:t>
            </w:r>
            <w:r>
              <w:rPr>
                <w:color w:val="000000"/>
                <w:kern w:val="0"/>
                <w:sz w:val="22"/>
                <w:szCs w:val="22"/>
              </w:rPr>
              <w:br w:type="textWrapping"/>
            </w:r>
            <w:r>
              <w:rPr>
                <w:color w:val="000000"/>
                <w:kern w:val="0"/>
                <w:sz w:val="22"/>
                <w:szCs w:val="22"/>
              </w:rPr>
              <w:t>计划产出数：项目绩效目标确定的在一定时期（本年度或项目期）内计划产出的产品或提供的服务数量。</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hint="default" w:eastAsia="宋体"/>
                <w:b/>
                <w:bCs/>
                <w:color w:val="000000"/>
                <w:kern w:val="0"/>
                <w:sz w:val="22"/>
                <w:szCs w:val="22"/>
                <w:lang w:val="en-US" w:eastAsia="zh-CN"/>
              </w:rPr>
            </w:pPr>
            <w:r>
              <w:rPr>
                <w:rFonts w:hint="eastAsia"/>
                <w:b/>
                <w:bCs/>
                <w:color w:val="000000"/>
                <w:kern w:val="0"/>
                <w:sz w:val="22"/>
                <w:szCs w:val="22"/>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产出质量</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质量达标率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项目完成的质量达标产出数与实际产出数的比率，用以反映和考核项目产出质量目标的实现程度。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质量达标率=（质量达标产出数/实际产出数）×100%。</w:t>
            </w:r>
          </w:p>
          <w:p>
            <w:pPr>
              <w:widowControl/>
              <w:spacing w:line="0" w:lineRule="atLeast"/>
              <w:rPr>
                <w:color w:val="000000"/>
                <w:kern w:val="0"/>
                <w:sz w:val="22"/>
                <w:szCs w:val="22"/>
              </w:rPr>
            </w:pPr>
            <w:r>
              <w:rPr>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hint="default" w:eastAsia="宋体"/>
                <w:b/>
                <w:bCs/>
                <w:color w:val="000000"/>
                <w:kern w:val="0"/>
                <w:sz w:val="22"/>
                <w:szCs w:val="22"/>
                <w:lang w:val="en-US" w:eastAsia="zh-CN"/>
              </w:rPr>
            </w:pPr>
            <w:r>
              <w:rPr>
                <w:rFonts w:hint="eastAsia"/>
                <w:b/>
                <w:bCs/>
                <w:color w:val="000000"/>
                <w:kern w:val="0"/>
                <w:sz w:val="22"/>
                <w:szCs w:val="22"/>
                <w:lang w:val="en-US" w:eastAsia="zh-CN"/>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28" w:type="pct"/>
            <w:vMerge w:val="continue"/>
            <w:shd w:val="clear" w:color="auto" w:fill="FFFFFF"/>
            <w:vAlign w:val="center"/>
          </w:tcPr>
          <w:p>
            <w:pPr>
              <w:spacing w:line="0" w:lineRule="atLeast"/>
              <w:jc w:val="center"/>
              <w:rPr>
                <w:color w:val="000000"/>
                <w:kern w:val="0"/>
                <w:sz w:val="22"/>
                <w:szCs w:val="22"/>
              </w:rPr>
            </w:pPr>
          </w:p>
        </w:tc>
        <w:tc>
          <w:tcPr>
            <w:tcW w:w="301" w:type="pct"/>
            <w:shd w:val="clear" w:color="auto" w:fill="FFFFFF"/>
            <w:vAlign w:val="center"/>
          </w:tcPr>
          <w:p>
            <w:pPr>
              <w:spacing w:line="0" w:lineRule="atLeast"/>
              <w:jc w:val="center"/>
              <w:rPr>
                <w:color w:val="000000"/>
                <w:kern w:val="0"/>
                <w:sz w:val="22"/>
                <w:szCs w:val="22"/>
              </w:rPr>
            </w:pPr>
            <w:r>
              <w:rPr>
                <w:color w:val="000000"/>
                <w:kern w:val="0"/>
                <w:sz w:val="22"/>
                <w:szCs w:val="22"/>
              </w:rPr>
              <w:t>产出时效</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完成及时性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项目实际完成时间与计划完成时间的比较，用以反映和考核项目产出时效目标的实现程度。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实际完成时间：项目实施单位完成该项目实际所耗用的时间。</w:t>
            </w:r>
            <w:r>
              <w:rPr>
                <w:color w:val="000000"/>
                <w:kern w:val="0"/>
                <w:sz w:val="22"/>
                <w:szCs w:val="22"/>
              </w:rPr>
              <w:br w:type="textWrapping"/>
            </w:r>
            <w:r>
              <w:rPr>
                <w:color w:val="000000"/>
                <w:kern w:val="0"/>
                <w:sz w:val="22"/>
                <w:szCs w:val="22"/>
              </w:rPr>
              <w:t>计划完成时间：按照项目实施计划或相关规定完成该项目所需的时间。</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hint="default" w:eastAsia="宋体"/>
                <w:b/>
                <w:bCs/>
                <w:color w:val="000000"/>
                <w:kern w:val="0"/>
                <w:sz w:val="22"/>
                <w:szCs w:val="22"/>
                <w:lang w:val="en-US" w:eastAsia="zh-CN"/>
              </w:rPr>
            </w:pPr>
            <w:r>
              <w:rPr>
                <w:rFonts w:hint="eastAsia"/>
                <w:b/>
                <w:bCs/>
                <w:color w:val="000000"/>
                <w:kern w:val="0"/>
                <w:sz w:val="22"/>
                <w:szCs w:val="22"/>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产出成本</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成本节约率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完成项目计划工作目标的实际节约成本与计划成本的比率，用以反映和考核项目的成本节约程度。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br w:type="textWrapping"/>
            </w:r>
            <w:r>
              <w:rPr>
                <w:color w:val="000000"/>
                <w:kern w:val="0"/>
                <w:sz w:val="22"/>
                <w:szCs w:val="22"/>
              </w:rPr>
              <w:t>成本节约率=[（计划成本-实际成本）/计划成本]×100%。</w:t>
            </w:r>
            <w:r>
              <w:rPr>
                <w:color w:val="000000"/>
                <w:kern w:val="0"/>
                <w:sz w:val="22"/>
                <w:szCs w:val="22"/>
              </w:rPr>
              <w:br w:type="textWrapping"/>
            </w:r>
            <w:r>
              <w:rPr>
                <w:color w:val="000000"/>
                <w:kern w:val="0"/>
                <w:sz w:val="22"/>
                <w:szCs w:val="22"/>
              </w:rPr>
              <w:t>实际成本：项目实施单位如期、保质、保量完成既定工作目标实际所耗费的支出。</w:t>
            </w:r>
            <w:r>
              <w:rPr>
                <w:color w:val="000000"/>
                <w:kern w:val="0"/>
                <w:sz w:val="22"/>
                <w:szCs w:val="22"/>
              </w:rPr>
              <w:br w:type="textWrapping"/>
            </w:r>
            <w:r>
              <w:rPr>
                <w:color w:val="000000"/>
                <w:kern w:val="0"/>
                <w:sz w:val="22"/>
                <w:szCs w:val="22"/>
              </w:rPr>
              <w:t>计划成本：项目实施单位为完成工作目标计划安排的支出，一般以项目预算为参考。</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hint="default" w:eastAsia="宋体"/>
                <w:b/>
                <w:bCs/>
                <w:color w:val="000000"/>
                <w:kern w:val="0"/>
                <w:sz w:val="22"/>
                <w:szCs w:val="22"/>
                <w:lang w:val="en-US" w:eastAsia="zh-CN"/>
              </w:rPr>
            </w:pPr>
            <w:r>
              <w:rPr>
                <w:rFonts w:hint="eastAsia"/>
                <w:b/>
                <w:bCs/>
                <w:color w:val="000000"/>
                <w:kern w:val="0"/>
                <w:sz w:val="22"/>
                <w:szCs w:val="22"/>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28"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效益　</w:t>
            </w: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项目效益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实施效益</w:t>
            </w:r>
          </w:p>
        </w:tc>
        <w:tc>
          <w:tcPr>
            <w:tcW w:w="927" w:type="pct"/>
            <w:shd w:val="clear" w:color="auto" w:fill="FFFFFF"/>
            <w:vAlign w:val="center"/>
          </w:tcPr>
          <w:p>
            <w:pPr>
              <w:widowControl/>
              <w:spacing w:line="0" w:lineRule="atLeast"/>
              <w:jc w:val="left"/>
              <w:rPr>
                <w:color w:val="000000"/>
                <w:kern w:val="0"/>
                <w:sz w:val="22"/>
                <w:szCs w:val="22"/>
              </w:rPr>
            </w:pPr>
            <w:r>
              <w:rPr>
                <w:color w:val="000000"/>
                <w:kern w:val="0"/>
                <w:sz w:val="22"/>
                <w:szCs w:val="22"/>
              </w:rPr>
              <w:t>项目实施所产生的效益。</w:t>
            </w:r>
          </w:p>
        </w:tc>
        <w:tc>
          <w:tcPr>
            <w:tcW w:w="2048" w:type="pct"/>
            <w:shd w:val="clear" w:color="auto" w:fill="FFFFFF"/>
            <w:vAlign w:val="center"/>
          </w:tcPr>
          <w:p>
            <w:pPr>
              <w:widowControl/>
              <w:spacing w:line="0" w:lineRule="atLeast"/>
              <w:rPr>
                <w:color w:val="000000"/>
                <w:kern w:val="0"/>
                <w:sz w:val="22"/>
                <w:szCs w:val="22"/>
              </w:rPr>
            </w:pPr>
            <w:r>
              <w:rPr>
                <w:color w:val="000000"/>
                <w:kern w:val="0"/>
                <w:sz w:val="22"/>
                <w:szCs w:val="22"/>
              </w:rPr>
              <w:t>项目实施所产生的社会效益、经济效益、生态效益、可持续影响等。可根据项目实际情况有选择地设置和细化。</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auto" w:fill="FFFFFF"/>
            <w:vAlign w:val="center"/>
          </w:tcPr>
          <w:p>
            <w:pPr>
              <w:widowControl/>
              <w:spacing w:line="0" w:lineRule="atLeast"/>
              <w:jc w:val="center"/>
              <w:rPr>
                <w:rFonts w:hint="default" w:eastAsia="宋体"/>
                <w:b/>
                <w:bCs/>
                <w:color w:val="000000"/>
                <w:kern w:val="0"/>
                <w:sz w:val="22"/>
                <w:szCs w:val="22"/>
                <w:lang w:val="en-US" w:eastAsia="zh-CN"/>
              </w:rPr>
            </w:pPr>
            <w:r>
              <w:rPr>
                <w:rFonts w:hint="eastAsia"/>
                <w:b/>
                <w:bCs/>
                <w:color w:val="000000"/>
                <w:kern w:val="0"/>
                <w:sz w:val="22"/>
                <w:szCs w:val="22"/>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28" w:type="pct"/>
            <w:vMerge w:val="continue"/>
            <w:shd w:val="clear" w:color="auto" w:fill="FFFFFF"/>
            <w:vAlign w:val="center"/>
          </w:tcPr>
          <w:p>
            <w:pPr>
              <w:widowControl/>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满意度</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社会公众或服务对象对项目实施效果的满意程度。</w:t>
            </w:r>
          </w:p>
        </w:tc>
        <w:tc>
          <w:tcPr>
            <w:tcW w:w="2048" w:type="pct"/>
            <w:shd w:val="clear" w:color="000000" w:fill="FFFFFF"/>
            <w:vAlign w:val="center"/>
          </w:tcPr>
          <w:p>
            <w:pPr>
              <w:widowControl/>
              <w:spacing w:line="0" w:lineRule="atLeast"/>
              <w:rPr>
                <w:color w:val="000000"/>
                <w:kern w:val="0"/>
                <w:sz w:val="22"/>
                <w:szCs w:val="22"/>
              </w:rPr>
            </w:pPr>
            <w:r>
              <w:rPr>
                <w:color w:val="000000"/>
                <w:kern w:val="0"/>
                <w:sz w:val="22"/>
                <w:szCs w:val="22"/>
              </w:rPr>
              <w:t>社会公众或服务对象是指因该项目实施而受到影响的部门（单位）、群体或个人。一般采取社会调查的方式。</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hint="default" w:eastAsia="宋体"/>
                <w:b/>
                <w:bCs/>
                <w:color w:val="000000"/>
                <w:kern w:val="0"/>
                <w:sz w:val="22"/>
                <w:szCs w:val="22"/>
                <w:lang w:val="en-US" w:eastAsia="zh-CN"/>
              </w:rPr>
            </w:pPr>
            <w:r>
              <w:rPr>
                <w:rFonts w:hint="eastAsia"/>
                <w:b/>
                <w:bCs/>
                <w:color w:val="000000"/>
                <w:kern w:val="0"/>
                <w:sz w:val="22"/>
                <w:szCs w:val="22"/>
                <w:lang w:val="en-US" w:eastAsia="zh-CN"/>
              </w:rPr>
              <w:t>10</w:t>
            </w:r>
          </w:p>
        </w:tc>
      </w:tr>
    </w:tbl>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0" w:usb1="00000000" w:usb2="00000000" w:usb3="00000000" w:csb0="00000000" w:csb1="00000000"/>
  </w:font>
  <w:font w:name="楷体_GB2312">
    <w:altName w:val="楷体"/>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8"/>
          <w:jc w:val="center"/>
        </w:pPr>
        <w:r>
          <w:fldChar w:fldCharType="begin"/>
        </w:r>
        <w:r>
          <w:instrText xml:space="preserve">PAGE   \* MERGEFORMAT</w:instrText>
        </w:r>
        <w:r>
          <w:fldChar w:fldCharType="separate"/>
        </w:r>
        <w:r>
          <w:rPr>
            <w:lang w:val="zh-CN"/>
          </w:rPr>
          <w:t>13</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3853AE"/>
    <w:multiLevelType w:val="singleLevel"/>
    <w:tmpl w:val="E83853AE"/>
    <w:lvl w:ilvl="0" w:tentative="0">
      <w:start w:val="2"/>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rPr>
        <w:rFonts w:hint="eastAsia"/>
      </w:rPr>
    </w:lvl>
  </w:abstractNum>
  <w:abstractNum w:abstractNumId="4">
    <w:nsid w:val="3730CCE4"/>
    <w:multiLevelType w:val="singleLevel"/>
    <w:tmpl w:val="3730CCE4"/>
    <w:lvl w:ilvl="0" w:tentative="0">
      <w:start w:val="2"/>
      <w:numFmt w:val="decimal"/>
      <w:suff w:val="nothing"/>
      <w:lvlText w:val="（%1）"/>
      <w:lvlJc w:val="left"/>
    </w:lvl>
  </w:abstractNum>
  <w:abstractNum w:abstractNumId="5">
    <w:nsid w:val="6FAA0AB1"/>
    <w:multiLevelType w:val="singleLevel"/>
    <w:tmpl w:val="6FAA0AB1"/>
    <w:lvl w:ilvl="0" w:tentative="0">
      <w:start w:val="2"/>
      <w:numFmt w:val="chineseCounting"/>
      <w:suff w:val="nothing"/>
      <w:lvlText w:val="（%1）"/>
      <w:lvlJc w:val="left"/>
      <w:rPr>
        <w:rFonts w:hint="eastAsia"/>
      </w:r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NjM3ZjNmMGUxY2E3MTg1Y2U0Y2MxMzlkMDRhODkifQ=="/>
  </w:docVars>
  <w:rsids>
    <w:rsidRoot w:val="FF6C4049"/>
    <w:rsid w:val="006F7242"/>
    <w:rsid w:val="007B168A"/>
    <w:rsid w:val="008B2CFE"/>
    <w:rsid w:val="00F26FF6"/>
    <w:rsid w:val="07397B77"/>
    <w:rsid w:val="0B90254D"/>
    <w:rsid w:val="13471461"/>
    <w:rsid w:val="13B90F01"/>
    <w:rsid w:val="181066D2"/>
    <w:rsid w:val="1C671E73"/>
    <w:rsid w:val="38CA40DD"/>
    <w:rsid w:val="395F2B56"/>
    <w:rsid w:val="3BECE841"/>
    <w:rsid w:val="3D9B2122"/>
    <w:rsid w:val="3FF7797D"/>
    <w:rsid w:val="4F877895"/>
    <w:rsid w:val="4FA10530"/>
    <w:rsid w:val="5BFF6039"/>
    <w:rsid w:val="5D76A616"/>
    <w:rsid w:val="5D7F20B9"/>
    <w:rsid w:val="5DAC7D0E"/>
    <w:rsid w:val="5F98B5AF"/>
    <w:rsid w:val="5FFE8511"/>
    <w:rsid w:val="5FFEACE2"/>
    <w:rsid w:val="643EE26D"/>
    <w:rsid w:val="6F5C41AC"/>
    <w:rsid w:val="6FAF6C78"/>
    <w:rsid w:val="7317C656"/>
    <w:rsid w:val="734ED73F"/>
    <w:rsid w:val="77FD8BE9"/>
    <w:rsid w:val="79A9BD3F"/>
    <w:rsid w:val="7BFFFDD0"/>
    <w:rsid w:val="7C336E5F"/>
    <w:rsid w:val="7D7A5F86"/>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1"/>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19"/>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2"/>
    <w:qFormat/>
    <w:uiPriority w:val="0"/>
    <w:rPr>
      <w:b/>
      <w:bCs/>
    </w:rPr>
  </w:style>
  <w:style w:type="paragraph" w:styleId="11">
    <w:name w:val="Body Text First Indent"/>
    <w:basedOn w:val="5"/>
    <w:qFormat/>
    <w:uiPriority w:val="0"/>
    <w:pPr>
      <w:spacing w:after="0"/>
      <w:ind w:firstLine="200" w:firstLineChars="200"/>
    </w:pPr>
  </w:style>
  <w:style w:type="paragraph" w:styleId="12">
    <w:name w:val="Body Text First Indent 2"/>
    <w:basedOn w:val="6"/>
    <w:qFormat/>
    <w:uiPriority w:val="0"/>
    <w:pPr>
      <w:ind w:firstLine="420" w:firstLineChars="200"/>
    </w:p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character" w:customStyle="1" w:styleId="17">
    <w:name w:val="fontstyle01"/>
    <w:qFormat/>
    <w:uiPriority w:val="0"/>
    <w:rPr>
      <w:rFonts w:ascii="仿宋_GB2312" w:hAnsi="仿宋_GB2312" w:eastAsia="仿宋_GB2312" w:cs="仿宋_GB2312"/>
      <w:color w:val="000000"/>
      <w:sz w:val="32"/>
      <w:szCs w:val="32"/>
    </w:rPr>
  </w:style>
  <w:style w:type="paragraph" w:customStyle="1" w:styleId="18">
    <w:name w:val="闻政-正文段落文字"/>
    <w:basedOn w:val="1"/>
    <w:qFormat/>
    <w:uiPriority w:val="3"/>
    <w:pPr>
      <w:spacing w:line="500" w:lineRule="exact"/>
      <w:ind w:firstLine="200"/>
    </w:pPr>
    <w:rPr>
      <w:kern w:val="0"/>
      <w:szCs w:val="28"/>
    </w:rPr>
  </w:style>
  <w:style w:type="character" w:customStyle="1" w:styleId="19">
    <w:name w:val="批注框文本 字符"/>
    <w:basedOn w:val="14"/>
    <w:link w:val="7"/>
    <w:qFormat/>
    <w:uiPriority w:val="0"/>
    <w:rPr>
      <w:rFonts w:ascii="Times New Roman" w:hAnsi="Times New Roman" w:eastAsia="宋体" w:cs="Times New Roman"/>
      <w:kern w:val="2"/>
      <w:sz w:val="18"/>
      <w:szCs w:val="18"/>
    </w:rPr>
  </w:style>
  <w:style w:type="character" w:customStyle="1" w:styleId="20">
    <w:name w:val="页眉 字符"/>
    <w:basedOn w:val="14"/>
    <w:link w:val="9"/>
    <w:qFormat/>
    <w:uiPriority w:val="0"/>
    <w:rPr>
      <w:rFonts w:ascii="Times New Roman" w:hAnsi="Times New Roman" w:eastAsia="宋体" w:cs="Times New Roman"/>
      <w:kern w:val="2"/>
      <w:sz w:val="18"/>
      <w:szCs w:val="18"/>
    </w:rPr>
  </w:style>
  <w:style w:type="character" w:customStyle="1" w:styleId="21">
    <w:name w:val="批注文字 字符"/>
    <w:basedOn w:val="14"/>
    <w:link w:val="4"/>
    <w:qFormat/>
    <w:uiPriority w:val="0"/>
    <w:rPr>
      <w:rFonts w:ascii="Times New Roman" w:hAnsi="Times New Roman" w:eastAsia="宋体" w:cs="Times New Roman"/>
      <w:kern w:val="2"/>
      <w:sz w:val="21"/>
      <w:szCs w:val="24"/>
    </w:rPr>
  </w:style>
  <w:style w:type="character" w:customStyle="1" w:styleId="22">
    <w:name w:val="批注主题 字符"/>
    <w:basedOn w:val="21"/>
    <w:link w:val="10"/>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10157</Words>
  <Characters>10478</Characters>
  <Lines>58</Lines>
  <Paragraphs>16</Paragraphs>
  <TotalTime>0</TotalTime>
  <ScaleCrop>false</ScaleCrop>
  <LinksUpToDate>false</LinksUpToDate>
  <CharactersWithSpaces>10513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as</cp:lastModifiedBy>
  <dcterms:modified xsi:type="dcterms:W3CDTF">2023-04-10T10:26:48Z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C067EFDEC1DC4FE9A054045E2B79B3FB_13</vt:lpwstr>
  </property>
</Properties>
</file>