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华文中宋"/>
          <w:b/>
          <w:kern w:val="0"/>
          <w:sz w:val="52"/>
          <w:szCs w:val="52"/>
        </w:rPr>
      </w:pPr>
    </w:p>
    <w:p>
      <w:pPr>
        <w:spacing w:line="540" w:lineRule="exact"/>
        <w:rPr>
          <w:rFonts w:eastAsia="华文中宋"/>
          <w:b/>
          <w:kern w:val="0"/>
          <w:sz w:val="52"/>
          <w:szCs w:val="52"/>
        </w:rPr>
      </w:pPr>
    </w:p>
    <w:p>
      <w:pPr>
        <w:spacing w:line="540" w:lineRule="exact"/>
        <w:jc w:val="center"/>
        <w:rPr>
          <w:rFonts w:eastAsia="华文中宋"/>
          <w:b/>
          <w:kern w:val="0"/>
          <w:sz w:val="52"/>
          <w:szCs w:val="52"/>
        </w:rPr>
      </w:pPr>
    </w:p>
    <w:p>
      <w:pPr>
        <w:spacing w:line="540" w:lineRule="exact"/>
        <w:jc w:val="center"/>
        <w:rPr>
          <w:rFonts w:eastAsia="华文中宋"/>
          <w:b/>
          <w:kern w:val="0"/>
          <w:sz w:val="52"/>
          <w:szCs w:val="52"/>
        </w:rPr>
      </w:pPr>
    </w:p>
    <w:p>
      <w:pPr>
        <w:spacing w:line="540" w:lineRule="exact"/>
        <w:jc w:val="center"/>
        <w:rPr>
          <w:rFonts w:eastAsia="方正小标宋_GBK"/>
          <w:kern w:val="0"/>
          <w:sz w:val="48"/>
          <w:szCs w:val="48"/>
        </w:rPr>
      </w:pPr>
      <w:r>
        <w:rPr>
          <w:rFonts w:hint="eastAsia" w:eastAsia="方正小标宋_GBK"/>
          <w:kern w:val="0"/>
          <w:sz w:val="48"/>
          <w:szCs w:val="48"/>
        </w:rPr>
        <w:t>旅游业务成本支出</w:t>
      </w:r>
      <w:r>
        <w:rPr>
          <w:rFonts w:eastAsia="方正小标宋_GBK"/>
          <w:kern w:val="0"/>
          <w:sz w:val="48"/>
          <w:szCs w:val="48"/>
        </w:rPr>
        <w:t>项目支出绩效</w:t>
      </w:r>
    </w:p>
    <w:p>
      <w:pPr>
        <w:spacing w:line="540" w:lineRule="exact"/>
        <w:jc w:val="center"/>
        <w:rPr>
          <w:rFonts w:eastAsia="方正小标宋_GBK"/>
          <w:kern w:val="0"/>
          <w:sz w:val="48"/>
          <w:szCs w:val="48"/>
        </w:rPr>
      </w:pPr>
      <w:r>
        <w:rPr>
          <w:rFonts w:eastAsia="方正小标宋_GBK"/>
          <w:kern w:val="0"/>
          <w:sz w:val="48"/>
          <w:szCs w:val="48"/>
        </w:rPr>
        <w:t>评价报告</w:t>
      </w:r>
    </w:p>
    <w:p>
      <w:pPr>
        <w:spacing w:line="540" w:lineRule="exact"/>
        <w:jc w:val="center"/>
        <w:rPr>
          <w:rFonts w:eastAsia="华文中宋"/>
          <w:b/>
          <w:kern w:val="0"/>
          <w:sz w:val="52"/>
          <w:szCs w:val="52"/>
        </w:rPr>
      </w:pPr>
    </w:p>
    <w:p>
      <w:pPr>
        <w:spacing w:line="540" w:lineRule="exact"/>
        <w:jc w:val="center"/>
        <w:rPr>
          <w:rFonts w:eastAsia="仿宋_GB2312"/>
          <w:kern w:val="0"/>
          <w:sz w:val="36"/>
          <w:szCs w:val="36"/>
        </w:rPr>
      </w:pPr>
      <w:r>
        <w:rPr>
          <w:rFonts w:eastAsia="仿宋_GB2312"/>
          <w:kern w:val="0"/>
          <w:sz w:val="36"/>
          <w:szCs w:val="36"/>
        </w:rPr>
        <w:t>（ 2022年度）</w:t>
      </w:r>
    </w:p>
    <w:p>
      <w:pPr>
        <w:spacing w:line="540" w:lineRule="exact"/>
        <w:jc w:val="center"/>
        <w:rPr>
          <w:rFonts w:eastAsia="仿宋_GB2312"/>
          <w:kern w:val="0"/>
          <w:sz w:val="30"/>
          <w:szCs w:val="30"/>
        </w:rPr>
      </w:pPr>
    </w:p>
    <w:p>
      <w:pPr>
        <w:spacing w:line="540" w:lineRule="exact"/>
        <w:jc w:val="center"/>
        <w:rPr>
          <w:rFonts w:eastAsia="仿宋_GB2312"/>
          <w:kern w:val="0"/>
          <w:sz w:val="30"/>
          <w:szCs w:val="30"/>
        </w:rPr>
      </w:pPr>
    </w:p>
    <w:p>
      <w:pPr>
        <w:spacing w:line="540" w:lineRule="exact"/>
        <w:jc w:val="center"/>
        <w:rPr>
          <w:rFonts w:eastAsia="仿宋_GB2312"/>
          <w:kern w:val="0"/>
          <w:sz w:val="30"/>
          <w:szCs w:val="30"/>
        </w:rPr>
      </w:pPr>
    </w:p>
    <w:p>
      <w:pPr>
        <w:pStyle w:val="2"/>
      </w:pPr>
    </w:p>
    <w:p>
      <w:pPr>
        <w:spacing w:line="540" w:lineRule="exact"/>
        <w:jc w:val="center"/>
        <w:rPr>
          <w:rFonts w:eastAsia="仿宋_GB2312"/>
          <w:kern w:val="0"/>
          <w:sz w:val="30"/>
          <w:szCs w:val="30"/>
        </w:rPr>
      </w:pPr>
    </w:p>
    <w:p>
      <w:pPr>
        <w:spacing w:line="540" w:lineRule="exact"/>
        <w:rPr>
          <w:rFonts w:eastAsia="仿宋_GB2312"/>
          <w:kern w:val="0"/>
          <w:sz w:val="30"/>
          <w:szCs w:val="30"/>
        </w:rPr>
      </w:pPr>
    </w:p>
    <w:p>
      <w:pPr>
        <w:spacing w:line="700" w:lineRule="exact"/>
        <w:ind w:firstLine="280" w:firstLineChars="78"/>
        <w:jc w:val="left"/>
        <w:rPr>
          <w:rFonts w:eastAsia="仿宋_GB2312"/>
          <w:kern w:val="0"/>
          <w:sz w:val="36"/>
          <w:szCs w:val="36"/>
        </w:rPr>
      </w:pPr>
      <w:r>
        <w:rPr>
          <w:rFonts w:eastAsia="仿宋_GB2312"/>
          <w:kern w:val="0"/>
          <w:sz w:val="36"/>
          <w:szCs w:val="36"/>
        </w:rPr>
        <w:t>项目名称：</w:t>
      </w:r>
      <w:r>
        <w:rPr>
          <w:rFonts w:hint="eastAsia" w:eastAsia="仿宋_GB2312"/>
          <w:kern w:val="0"/>
          <w:sz w:val="36"/>
          <w:szCs w:val="36"/>
        </w:rPr>
        <w:t>旅游业务成本支出</w:t>
      </w:r>
    </w:p>
    <w:p>
      <w:pPr>
        <w:spacing w:line="700" w:lineRule="exact"/>
        <w:ind w:firstLine="280" w:firstLineChars="78"/>
        <w:jc w:val="left"/>
        <w:rPr>
          <w:rFonts w:eastAsia="仿宋_GB2312"/>
          <w:kern w:val="0"/>
          <w:sz w:val="36"/>
          <w:szCs w:val="36"/>
        </w:rPr>
      </w:pPr>
      <w:r>
        <w:rPr>
          <w:rFonts w:eastAsia="仿宋_GB2312"/>
          <w:kern w:val="0"/>
          <w:sz w:val="36"/>
          <w:szCs w:val="36"/>
        </w:rPr>
        <w:t>实施单位（公章）：</w:t>
      </w:r>
      <w:r>
        <w:rPr>
          <w:rFonts w:hint="eastAsia" w:eastAsia="仿宋_GB2312"/>
          <w:kern w:val="0"/>
          <w:sz w:val="36"/>
          <w:szCs w:val="36"/>
        </w:rPr>
        <w:t>新疆维吾尔自治区旅游培训中心</w:t>
      </w:r>
    </w:p>
    <w:p>
      <w:pPr>
        <w:spacing w:line="700" w:lineRule="exact"/>
        <w:ind w:firstLine="280" w:firstLineChars="78"/>
        <w:jc w:val="left"/>
        <w:rPr>
          <w:rFonts w:eastAsia="仿宋_GB2312"/>
          <w:kern w:val="0"/>
          <w:sz w:val="36"/>
          <w:szCs w:val="36"/>
        </w:rPr>
      </w:pPr>
      <w:r>
        <w:rPr>
          <w:rFonts w:eastAsia="仿宋_GB2312"/>
          <w:kern w:val="0"/>
          <w:sz w:val="36"/>
          <w:szCs w:val="36"/>
        </w:rPr>
        <w:t>主管部门（公章）：</w:t>
      </w:r>
      <w:r>
        <w:rPr>
          <w:rFonts w:hint="eastAsia" w:eastAsia="仿宋_GB2312"/>
          <w:kern w:val="0"/>
          <w:sz w:val="36"/>
          <w:szCs w:val="36"/>
        </w:rPr>
        <w:t>新疆维吾尔自治区文化和旅游厅</w:t>
      </w:r>
    </w:p>
    <w:p>
      <w:pPr>
        <w:spacing w:line="700" w:lineRule="exact"/>
        <w:ind w:firstLine="280" w:firstLineChars="78"/>
        <w:jc w:val="left"/>
        <w:rPr>
          <w:rFonts w:eastAsia="仿宋_GB2312"/>
          <w:kern w:val="0"/>
          <w:sz w:val="36"/>
          <w:szCs w:val="36"/>
        </w:rPr>
      </w:pPr>
      <w:r>
        <w:rPr>
          <w:rFonts w:eastAsia="仿宋_GB2312"/>
          <w:kern w:val="0"/>
          <w:sz w:val="36"/>
          <w:szCs w:val="36"/>
        </w:rPr>
        <w:t>项目负责人（签章）：</w:t>
      </w:r>
      <w:r>
        <w:rPr>
          <w:rFonts w:hint="eastAsia" w:eastAsia="仿宋_GB2312"/>
          <w:kern w:val="0"/>
          <w:sz w:val="36"/>
          <w:szCs w:val="36"/>
        </w:rPr>
        <w:t>雷延坤</w:t>
      </w:r>
    </w:p>
    <w:p>
      <w:pPr>
        <w:spacing w:line="700" w:lineRule="exact"/>
        <w:ind w:firstLine="280" w:firstLineChars="78"/>
        <w:jc w:val="left"/>
        <w:rPr>
          <w:rFonts w:eastAsia="仿宋_GB2312"/>
          <w:kern w:val="0"/>
          <w:sz w:val="36"/>
          <w:szCs w:val="36"/>
        </w:rPr>
      </w:pPr>
      <w:r>
        <w:rPr>
          <w:rFonts w:eastAsia="仿宋_GB2312"/>
          <w:kern w:val="0"/>
          <w:sz w:val="36"/>
          <w:szCs w:val="36"/>
        </w:rPr>
        <w:t>填报</w:t>
      </w:r>
      <w:r>
        <w:rPr>
          <w:rFonts w:hint="eastAsia" w:ascii="CESI仿宋-GB2312" w:hAnsi="CESI仿宋-GB2312" w:eastAsia="CESI仿宋-GB2312" w:cs="CESI仿宋-GB2312"/>
          <w:kern w:val="0"/>
          <w:sz w:val="36"/>
          <w:szCs w:val="36"/>
        </w:rPr>
        <w:t>时间：2023年4月6日</w:t>
      </w:r>
    </w:p>
    <w:p>
      <w:pPr>
        <w:spacing w:line="540" w:lineRule="exact"/>
        <w:jc w:val="center"/>
        <w:rPr>
          <w:rFonts w:eastAsia="仿宋_GB2312"/>
          <w:kern w:val="0"/>
          <w:sz w:val="30"/>
          <w:szCs w:val="30"/>
        </w:rPr>
      </w:pPr>
    </w:p>
    <w:p>
      <w:pPr>
        <w:spacing w:line="540" w:lineRule="exact"/>
        <w:rPr>
          <w:rStyle w:val="15"/>
          <w:rFonts w:eastAsia="黑体"/>
          <w:b w:val="0"/>
          <w:spacing w:val="-4"/>
          <w:sz w:val="32"/>
          <w:szCs w:val="32"/>
        </w:rPr>
      </w:pPr>
    </w:p>
    <w:p>
      <w:pPr>
        <w:spacing w:line="540" w:lineRule="exact"/>
        <w:ind w:firstLine="640"/>
        <w:rPr>
          <w:rStyle w:val="15"/>
          <w:rFonts w:eastAsia="黑体"/>
          <w:b w:val="0"/>
          <w:spacing w:val="-4"/>
          <w:sz w:val="32"/>
          <w:szCs w:val="32"/>
        </w:rPr>
      </w:pPr>
    </w:p>
    <w:p>
      <w:pPr>
        <w:spacing w:line="540" w:lineRule="exact"/>
        <w:rPr>
          <w:rStyle w:val="15"/>
          <w:rFonts w:eastAsia="黑体"/>
          <w:b w:val="0"/>
          <w:spacing w:val="-4"/>
          <w:sz w:val="32"/>
          <w:szCs w:val="32"/>
        </w:rPr>
      </w:pPr>
    </w:p>
    <w:p>
      <w:pPr>
        <w:spacing w:line="560" w:lineRule="exact"/>
        <w:ind w:firstLine="640" w:firstLineChars="200"/>
        <w:rPr>
          <w:rFonts w:eastAsia="黑体"/>
          <w:bCs/>
          <w:sz w:val="32"/>
          <w:szCs w:val="32"/>
        </w:rPr>
        <w:sectPr>
          <w:footerReference r:id="rId3" w:type="default"/>
          <w:pgSz w:w="11906" w:h="16838"/>
          <w:pgMar w:top="1440" w:right="1558" w:bottom="1440" w:left="1800" w:header="851" w:footer="992" w:gutter="0"/>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黑体"/>
          <w:bCs/>
          <w:sz w:val="32"/>
          <w:szCs w:val="32"/>
        </w:rPr>
      </w:pPr>
      <w:r>
        <w:rPr>
          <w:rFonts w:eastAsia="黑体"/>
          <w:bCs/>
          <w:sz w:val="32"/>
          <w:szCs w:val="32"/>
        </w:rPr>
        <w:t>一、基本情况</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eastAsia="楷体_GB2312"/>
          <w:b/>
          <w:bCs/>
          <w:sz w:val="32"/>
          <w:szCs w:val="32"/>
        </w:rPr>
      </w:pPr>
      <w:r>
        <w:rPr>
          <w:rFonts w:eastAsia="楷体_GB2312"/>
          <w:b/>
          <w:bCs/>
          <w:sz w:val="32"/>
          <w:szCs w:val="32"/>
        </w:rPr>
        <w:t>（一）项目概况</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1</w:t>
      </w:r>
      <w:r>
        <w:rPr>
          <w:rFonts w:hint="eastAsia" w:ascii="方正仿宋_GBK" w:hAnsi="方正仿宋_GBK" w:eastAsia="方正仿宋_GBK" w:cs="方正仿宋_GBK"/>
          <w:b/>
          <w:bCs/>
          <w:sz w:val="32"/>
          <w:szCs w:val="32"/>
          <w:lang w:val="en-US" w:eastAsia="zh-CN"/>
        </w:rPr>
        <w:t>.</w:t>
      </w:r>
      <w:r>
        <w:rPr>
          <w:rFonts w:hint="eastAsia" w:ascii="方正仿宋_GBK" w:hAnsi="方正仿宋_GBK" w:eastAsia="方正仿宋_GBK" w:cs="方正仿宋_GBK"/>
          <w:b/>
          <w:bCs/>
          <w:sz w:val="32"/>
          <w:szCs w:val="32"/>
        </w:rPr>
        <w:t>项目背景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Cs w:val="21"/>
        </w:rPr>
      </w:pPr>
      <w:r>
        <w:rPr>
          <w:rFonts w:hint="eastAsia" w:ascii="仿宋_GB2312" w:hAnsi="仿宋_GB2312" w:eastAsia="仿宋_GB2312" w:cs="仿宋_GB2312"/>
          <w:sz w:val="32"/>
          <w:szCs w:val="32"/>
        </w:rPr>
        <w:t>自2010年起，因所有资金均纳入预算管理，财政拨付此项资金用于支持培训业务正常开展。根据《自治区党委 自治</w:t>
      </w:r>
      <w:r>
        <w:rPr>
          <w:rFonts w:hint="eastAsia" w:ascii="CESI仿宋-GB2312" w:hAnsi="CESI仿宋-GB2312" w:eastAsia="CESI仿宋-GB2312" w:cs="CESI仿宋-GB2312"/>
          <w:sz w:val="32"/>
          <w:szCs w:val="32"/>
        </w:rPr>
        <w:t>区人民政府关于进一步加快旅游业发展的意见》（</w:t>
      </w:r>
      <w:r>
        <w:rPr>
          <w:rFonts w:hint="eastAsia" w:ascii="CESI仿宋-GB2312" w:hAnsi="CESI仿宋-GB2312" w:eastAsia="CESI仿宋-GB2312" w:cs="CESI仿宋-GB2312"/>
          <w:bCs/>
          <w:sz w:val="32"/>
          <w:szCs w:val="32"/>
        </w:rPr>
        <w:t>新党发〔2017〕6号</w:t>
      </w:r>
      <w:r>
        <w:rPr>
          <w:rFonts w:hint="eastAsia" w:ascii="CESI仿宋-GB2312" w:hAnsi="CESI仿宋-GB2312" w:eastAsia="CESI仿宋-GB2312" w:cs="CESI仿宋-GB2312"/>
          <w:sz w:val="32"/>
          <w:szCs w:val="32"/>
        </w:rPr>
        <w:t>），贯彻落实以习近平同志为核心的党中央治疆</w:t>
      </w:r>
      <w:r>
        <w:rPr>
          <w:rFonts w:hint="eastAsia" w:ascii="仿宋_GB2312" w:hAnsi="仿宋_GB2312" w:eastAsia="仿宋_GB2312" w:cs="仿宋_GB2312"/>
          <w:sz w:val="32"/>
          <w:szCs w:val="32"/>
        </w:rPr>
        <w:t>方略，紧紧围绕“1+3+3+改革开放”工作部署，贯彻落实自治区旅游发展大会精神，特别是陈全国书记关于建强旅游“三个队伍”的重要指示精神，进一步加强行业队伍培训，提升干部队伍素质，为实施旅游兴疆战略，加快建设旅游经济强区和世界重要旅游目的地提供有力支撑，为推动旅游业真正成为新疆战略支柱产业和经济高质量发展的重要引擎储备人才力量。</w:t>
      </w:r>
    </w:p>
    <w:p>
      <w:pPr>
        <w:pStyle w:val="2"/>
        <w:keepNext w:val="0"/>
        <w:keepLines w:val="0"/>
        <w:pageBreakBefore w:val="0"/>
        <w:numPr>
          <w:numId w:val="0"/>
        </w:numPr>
        <w:kinsoku/>
        <w:wordWrap/>
        <w:overflowPunct/>
        <w:topLinePunct w:val="0"/>
        <w:autoSpaceDE/>
        <w:autoSpaceDN/>
        <w:bidi w:val="0"/>
        <w:adjustRightInd/>
        <w:snapToGrid/>
        <w:spacing w:before="0" w:after="0" w:line="560" w:lineRule="exact"/>
        <w:ind w:firstLine="642" w:firstLineChars="200"/>
        <w:jc w:val="both"/>
        <w:textAlignment w:val="auto"/>
        <w:rPr>
          <w:rFonts w:hint="eastAsia" w:ascii="方正仿宋_GBK" w:hAnsi="方正仿宋_GBK" w:eastAsia="方正仿宋_GBK" w:cs="方正仿宋_GBK"/>
          <w:kern w:val="2"/>
        </w:rPr>
      </w:pPr>
      <w:r>
        <w:rPr>
          <w:rFonts w:hint="eastAsia" w:ascii="方正仿宋_GBK" w:hAnsi="方正仿宋_GBK" w:eastAsia="方正仿宋_GBK" w:cs="方正仿宋_GBK"/>
          <w:kern w:val="2"/>
          <w:lang w:val="en-US" w:eastAsia="zh-CN"/>
        </w:rPr>
        <w:t>2.</w:t>
      </w:r>
      <w:r>
        <w:rPr>
          <w:rFonts w:hint="eastAsia" w:ascii="方正仿宋_GBK" w:hAnsi="方正仿宋_GBK" w:eastAsia="方正仿宋_GBK" w:cs="方正仿宋_GBK"/>
          <w:kern w:val="2"/>
        </w:rPr>
        <w:t>项目主要内容</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0"/>
          <w:szCs w:val="30"/>
        </w:rPr>
        <w:t>项目主要内容：</w:t>
      </w:r>
      <w:r>
        <w:rPr>
          <w:rFonts w:hint="eastAsia" w:ascii="仿宋_GB2312" w:hAnsi="仿宋_GB2312" w:eastAsia="仿宋_GB2312" w:cs="仿宋_GB2312"/>
          <w:sz w:val="32"/>
          <w:szCs w:val="32"/>
        </w:rPr>
        <w:t>2022年，新疆旅游培训中心将根据我厅党组的统一安排，结合自身职责，对我区本系统内行政管理干部，各层次、各专业旅游从业人员进行有规划的、有重点的统一培训，针对旅游管理干部、旅游企业中高层管理人员和基层服务人员、导游员、参加导考学员，以线上为主、线下为辅的模式，同时采取送教上门、委托培训等相结合的多元化培训模式。利用信息化建设成果，提高工作质量和效率，以线上为主，线下为辅的原则开展各项培训，通过更科学的课程设计，务实的调查研究，制定出有针对性的培训方案和方法，以实现低成本，高质量，扩范围，增人数的目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rPr>
      </w:pPr>
      <w:r>
        <w:rPr>
          <w:rFonts w:eastAsia="仿宋_GB2312"/>
          <w:sz w:val="32"/>
          <w:szCs w:val="32"/>
        </w:rPr>
        <w:t>项目实施情况：</w:t>
      </w:r>
      <w:r>
        <w:rPr>
          <w:rFonts w:hint="eastAsia" w:eastAsia="仿宋_GB2312"/>
          <w:sz w:val="32"/>
          <w:szCs w:val="32"/>
        </w:rPr>
        <w:t>财政</w:t>
      </w:r>
      <w:r>
        <w:rPr>
          <w:rFonts w:hint="eastAsia" w:ascii="CESI仿宋-GB2312" w:hAnsi="CESI仿宋-GB2312" w:eastAsia="CESI仿宋-GB2312" w:cs="CESI仿宋-GB2312"/>
          <w:sz w:val="32"/>
          <w:szCs w:val="32"/>
        </w:rPr>
        <w:t>拨款执行率100%，自有资金部分因疫情影响执行率12.46%。</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3</w:t>
      </w:r>
      <w:r>
        <w:rPr>
          <w:rFonts w:hint="eastAsia" w:ascii="方正仿宋_GBK" w:hAnsi="方正仿宋_GBK" w:eastAsia="方正仿宋_GBK" w:cs="方正仿宋_GBK"/>
          <w:b/>
          <w:bCs/>
          <w:sz w:val="32"/>
          <w:szCs w:val="32"/>
          <w:lang w:val="en-US" w:eastAsia="zh-CN"/>
        </w:rPr>
        <w:t>.</w:t>
      </w:r>
      <w:r>
        <w:rPr>
          <w:rFonts w:hint="eastAsia" w:ascii="方正仿宋_GBK" w:hAnsi="方正仿宋_GBK" w:eastAsia="方正仿宋_GBK" w:cs="方正仿宋_GBK"/>
          <w:b/>
          <w:bCs/>
          <w:sz w:val="32"/>
          <w:szCs w:val="32"/>
        </w:rPr>
        <w:t>资金投入和使用情况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（1）资金投入情况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该项目年初预算数170万元，全年预算数170万元，实际总投入170万元，该项目资金已全部落实到位，资金来源为财政拨款100万元，其他资金（自筹）70万元。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（2）资金使用情况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该项目年初预算数170万元，全年预算数170万元，全年执行数108.72万元（其中财政拨款100万元，其他资金8.72万元），预算执行率为63.95%，主要用于：</w:t>
      </w:r>
      <w:r>
        <w:rPr>
          <w:rFonts w:hint="eastAsia" w:ascii="仿宋_GB2312" w:hAnsi="仿宋" w:eastAsia="仿宋_GB2312"/>
          <w:sz w:val="32"/>
          <w:szCs w:val="32"/>
        </w:rPr>
        <w:t>组织开展文旅系统干部职工及旅游从业人员的业务培训等工作以及保障中心正常运转的必要人员经费支出。</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eastAsia="楷体_GB2312"/>
          <w:b/>
          <w:bCs/>
          <w:sz w:val="32"/>
          <w:szCs w:val="32"/>
        </w:rPr>
      </w:pPr>
      <w:r>
        <w:rPr>
          <w:rFonts w:eastAsia="楷体_GB2312"/>
          <w:b/>
          <w:bCs/>
          <w:sz w:val="32"/>
          <w:szCs w:val="32"/>
        </w:rPr>
        <w:t>（二）项目绩效目标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总体目标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利用信息化建设成果，提高工作质量和效率，以线上为主，线下为辅的原则开展各项培训，通过更科学的课程设计，务实的调查研究，制定出有针对性的培训方案和方法，以实现低成本，高质量，扩范围，增人数的目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阶段性目标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中心2022年将开展常规培训（旅游兴疆大讲堂）和委托培训（乡村振兴、旅游经济发展、新媒体人才培养），同时完成信息化建设前期调研工作，为正式启动新疆旅游从业人员培训系统升级做准备，争取建成自治区文化和旅游厅培训信息一体化平台，并为创建自治区文化和旅游网络培训学院做准备。后期系统改造升级将于2023年开始实施；为保障培训业务正常开展按期支付人员经费；按厅党组要求按期支付访惠聚工作队相关经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黑体"/>
          <w:sz w:val="32"/>
          <w:szCs w:val="32"/>
        </w:rPr>
      </w:pPr>
      <w:r>
        <w:rPr>
          <w:rFonts w:eastAsia="黑体"/>
          <w:sz w:val="32"/>
          <w:szCs w:val="32"/>
        </w:rPr>
        <w:t>二、绩效评价工作开展情况</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eastAsia="楷体_GB2312"/>
          <w:b/>
          <w:bCs/>
          <w:sz w:val="32"/>
          <w:szCs w:val="32"/>
        </w:rPr>
      </w:pPr>
      <w:r>
        <w:rPr>
          <w:rFonts w:eastAsia="楷体_GB2312"/>
          <w:b/>
          <w:bCs/>
          <w:sz w:val="32"/>
          <w:szCs w:val="32"/>
        </w:rPr>
        <w:t>（一）绩效评价目的、对象和范围</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ascii="Times New Roman" w:hAnsi="Times New Roman" w:eastAsia="仿宋_GB2312"/>
          <w:b w:val="0"/>
          <w:bCs w:val="0"/>
        </w:rPr>
      </w:pPr>
      <w:r>
        <w:rPr>
          <w:rFonts w:hint="eastAsia" w:ascii="方正仿宋_GBK" w:hAnsi="方正仿宋_GBK" w:eastAsia="方正仿宋_GBK" w:cs="方正仿宋_GBK"/>
          <w:b w:val="0"/>
          <w:bCs w:val="0"/>
        </w:rPr>
        <w:t>1</w:t>
      </w:r>
      <w:r>
        <w:rPr>
          <w:rFonts w:hint="eastAsia" w:ascii="方正仿宋_GBK" w:hAnsi="方正仿宋_GBK" w:eastAsia="方正仿宋_GBK" w:cs="方正仿宋_GBK"/>
          <w:b w:val="0"/>
          <w:bCs w:val="0"/>
          <w:lang w:val="en-US" w:eastAsia="zh-CN"/>
        </w:rPr>
        <w:t>.</w:t>
      </w:r>
      <w:r>
        <w:rPr>
          <w:rFonts w:hint="eastAsia" w:ascii="方正仿宋_GBK" w:hAnsi="方正仿宋_GBK" w:eastAsia="方正仿宋_GBK" w:cs="方正仿宋_GBK"/>
          <w:b w:val="0"/>
          <w:bCs w:val="0"/>
        </w:rPr>
        <w:t>绩效评价的</w:t>
      </w:r>
      <w:r>
        <w:rPr>
          <w:rFonts w:ascii="Times New Roman" w:hAnsi="Times New Roman" w:eastAsia="仿宋_GB2312"/>
          <w:b w:val="0"/>
          <w:bCs w:val="0"/>
        </w:rPr>
        <w:t>目的</w:t>
      </w:r>
    </w:p>
    <w:p>
      <w:pPr>
        <w:pStyle w:val="18"/>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方正仿宋_GBK" w:cs="方正仿宋_GBK"/>
          <w:sz w:val="32"/>
          <w:szCs w:val="32"/>
        </w:rPr>
      </w:pPr>
      <w:r>
        <w:rPr>
          <w:rFonts w:eastAsia="仿宋_GB2312"/>
          <w:sz w:val="32"/>
          <w:szCs w:val="32"/>
        </w:rPr>
        <w:t>通过开展有效的财政支出绩效评价管理，</w:t>
      </w:r>
      <w:r>
        <w:rPr>
          <w:rFonts w:hint="eastAsia" w:eastAsia="仿宋_GB2312"/>
          <w:sz w:val="32"/>
          <w:szCs w:val="32"/>
        </w:rPr>
        <w:t>全面了解该项目预算编制合理性、资金使用合规性、项目管理的规范性、项目目标的实现情况、服务对象的满意度等，通过本次项目绩效评价来总结经验和教训，促进项目成果转化和应用，为今后类似项目的长效管理，提供可行性参考建议。也为下一年预算编制与评审提供充分有效的依据，以达到改进预算管理、控制节约成本，优化资源配置、提高预算资金使用效益的目的。</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ascii="Times New Roman" w:hAnsi="Times New Roman" w:eastAsia="仿宋_GB2312"/>
          <w:b w:val="0"/>
          <w:bCs w:val="0"/>
        </w:rPr>
      </w:pPr>
      <w:r>
        <w:rPr>
          <w:rFonts w:hint="eastAsia" w:ascii="方正仿宋_GBK" w:hAnsi="方正仿宋_GBK" w:eastAsia="方正仿宋_GBK" w:cs="方正仿宋_GBK"/>
          <w:b w:val="0"/>
          <w:bCs w:val="0"/>
        </w:rPr>
        <w:t>2</w:t>
      </w:r>
      <w:r>
        <w:rPr>
          <w:rFonts w:hint="eastAsia" w:ascii="方正仿宋_GBK" w:hAnsi="方正仿宋_GBK" w:eastAsia="方正仿宋_GBK" w:cs="方正仿宋_GBK"/>
          <w:b w:val="0"/>
          <w:bCs w:val="0"/>
          <w:lang w:val="en-US" w:eastAsia="zh-CN"/>
        </w:rPr>
        <w:t>.</w:t>
      </w:r>
      <w:r>
        <w:rPr>
          <w:rFonts w:hint="eastAsia" w:ascii="方正仿宋_GBK" w:hAnsi="方正仿宋_GBK" w:eastAsia="方正仿宋_GBK" w:cs="方正仿宋_GBK"/>
          <w:b w:val="0"/>
          <w:bCs w:val="0"/>
        </w:rPr>
        <w:t>绩</w:t>
      </w:r>
      <w:r>
        <w:rPr>
          <w:rFonts w:ascii="Times New Roman" w:hAnsi="Times New Roman" w:eastAsia="仿宋_GB2312"/>
          <w:b w:val="0"/>
          <w:bCs w:val="0"/>
        </w:rPr>
        <w:t>效评价的对象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旅游业务成本支出项目所包含的全部项目内容。</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ascii="Times New Roman" w:hAnsi="Times New Roman" w:eastAsia="仿宋_GB2312"/>
          <w:b w:val="0"/>
          <w:bCs w:val="0"/>
        </w:rPr>
      </w:pPr>
      <w:r>
        <w:rPr>
          <w:rFonts w:hint="eastAsia" w:ascii="方正仿宋_GBK" w:hAnsi="方正仿宋_GBK" w:eastAsia="方正仿宋_GBK" w:cs="方正仿宋_GBK"/>
          <w:b w:val="0"/>
          <w:bCs w:val="0"/>
        </w:rPr>
        <w:t>3</w:t>
      </w:r>
      <w:r>
        <w:rPr>
          <w:rFonts w:hint="eastAsia" w:ascii="方正仿宋_GBK" w:hAnsi="方正仿宋_GBK" w:eastAsia="方正仿宋_GBK" w:cs="方正仿宋_GBK"/>
          <w:b w:val="0"/>
          <w:bCs w:val="0"/>
          <w:lang w:val="en-US" w:eastAsia="zh-CN"/>
        </w:rPr>
        <w:t>.</w:t>
      </w:r>
      <w:r>
        <w:rPr>
          <w:rFonts w:hint="eastAsia" w:ascii="方正仿宋_GBK" w:hAnsi="方正仿宋_GBK" w:eastAsia="方正仿宋_GBK" w:cs="方正仿宋_GBK"/>
          <w:b w:val="0"/>
          <w:bCs w:val="0"/>
        </w:rPr>
        <w:t>绩</w:t>
      </w:r>
      <w:r>
        <w:rPr>
          <w:rFonts w:ascii="Times New Roman" w:hAnsi="Times New Roman" w:eastAsia="仿宋_GB2312"/>
          <w:b w:val="0"/>
          <w:bCs w:val="0"/>
        </w:rPr>
        <w:t>效评价的范围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本次评价从项目决策（包括绩效目标、决策过程）、项目管理（包括项目资金、项目实施）、项目产出（包括项目产出</w:t>
      </w:r>
      <w:r>
        <w:rPr>
          <w:rFonts w:hint="eastAsia" w:ascii="仿宋_GB2312" w:hAnsi="仿宋_GB2312" w:eastAsia="仿宋_GB2312" w:cs="仿宋_GB2312"/>
          <w:sz w:val="32"/>
          <w:szCs w:val="32"/>
          <w:highlight w:val="none"/>
        </w:rPr>
        <w:t>数量、产出质量、产出时效和产出成本）项目效益四个维度对旅游业务成本支出项目进</w:t>
      </w:r>
      <w:r>
        <w:rPr>
          <w:rFonts w:hint="eastAsia" w:ascii="仿宋_GB2312" w:hAnsi="仿宋_GB2312" w:eastAsia="仿宋_GB2312" w:cs="仿宋_GB2312"/>
          <w:sz w:val="32"/>
          <w:szCs w:val="32"/>
        </w:rPr>
        <w:t>行评价，评价核心为专项资金的支出完成情况和效果。</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pPr>
      <w:r>
        <w:rPr>
          <w:rFonts w:eastAsia="楷体_GB2312"/>
          <w:b/>
          <w:bCs/>
          <w:sz w:val="32"/>
          <w:szCs w:val="32"/>
        </w:rPr>
        <w:t>（二）绩效评价原则、评价指标体系（详情见表1）、评价方法、评价标准。</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方正仿宋_GBK" w:hAnsi="方正仿宋_GBK" w:eastAsia="方正仿宋_GBK" w:cs="方正仿宋_GBK"/>
          <w:b w:val="0"/>
          <w:bCs w:val="0"/>
        </w:rPr>
      </w:pPr>
      <w:r>
        <w:rPr>
          <w:rFonts w:hint="eastAsia" w:ascii="方正仿宋_GBK" w:hAnsi="方正仿宋_GBK" w:eastAsia="方正仿宋_GBK" w:cs="方正仿宋_GBK"/>
          <w:b w:val="0"/>
          <w:bCs w:val="0"/>
        </w:rPr>
        <w:t>1</w:t>
      </w:r>
      <w:r>
        <w:rPr>
          <w:rFonts w:hint="eastAsia" w:ascii="方正仿宋_GBK" w:hAnsi="方正仿宋_GBK" w:eastAsia="方正仿宋_GBK" w:cs="方正仿宋_GBK"/>
          <w:b w:val="0"/>
          <w:bCs w:val="0"/>
          <w:lang w:val="en-US" w:eastAsia="zh-CN"/>
        </w:rPr>
        <w:t>.</w:t>
      </w:r>
      <w:r>
        <w:rPr>
          <w:rFonts w:hint="eastAsia" w:ascii="方正仿宋_GBK" w:hAnsi="方正仿宋_GBK" w:eastAsia="方正仿宋_GBK" w:cs="方正仿宋_GBK"/>
          <w:b w:val="0"/>
          <w:bCs w:val="0"/>
        </w:rPr>
        <w:t>绩效评价原则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本次项目绩效评价遵循以下基本原则：</w:t>
      </w:r>
    </w:p>
    <w:p>
      <w:pPr>
        <w:pStyle w:val="2"/>
        <w:keepNext w:val="0"/>
        <w:keepLines w:val="0"/>
        <w:pageBreakBefore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方正仿宋_GBK" w:hAnsi="方正仿宋_GBK" w:eastAsia="方正仿宋_GBK" w:cs="方正仿宋_GBK"/>
          <w:b w:val="0"/>
          <w:bCs w:val="0"/>
        </w:rPr>
      </w:pPr>
      <w:r>
        <w:rPr>
          <w:rFonts w:hint="eastAsia" w:ascii="方正仿宋_GBK" w:hAnsi="方正仿宋_GBK" w:eastAsia="方正仿宋_GBK" w:cs="方正仿宋_GBK"/>
          <w:b w:val="0"/>
          <w:bCs w:val="0"/>
        </w:rPr>
        <w:t>（1）科学公正。绩效评价应当运用科学合理的方法，按照规范的程序，对项目绩效进行客观、公正的反映。</w:t>
      </w:r>
    </w:p>
    <w:p>
      <w:pPr>
        <w:pStyle w:val="2"/>
        <w:keepNext w:val="0"/>
        <w:keepLines w:val="0"/>
        <w:pageBreakBefore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方正仿宋_GBK" w:hAnsi="方正仿宋_GBK" w:eastAsia="方正仿宋_GBK" w:cs="方正仿宋_GBK"/>
          <w:b w:val="0"/>
          <w:bCs w:val="0"/>
        </w:rPr>
      </w:pPr>
      <w:r>
        <w:rPr>
          <w:rFonts w:hint="eastAsia" w:ascii="方正仿宋_GBK" w:hAnsi="方正仿宋_GBK" w:eastAsia="方正仿宋_GBK" w:cs="方正仿宋_GBK"/>
          <w:b w:val="0"/>
          <w:bCs w:val="0"/>
        </w:rPr>
        <w:t>（2）统筹兼顾。单位自评、部门评价和财政评价应职责明确，各有侧重，相互衔接。单位自评应由项目单位自主实施，即“谁支出、谁自评”。部门评价和财政评价应在单位自评的基础上开展。</w:t>
      </w:r>
    </w:p>
    <w:p>
      <w:pPr>
        <w:pStyle w:val="2"/>
        <w:keepNext w:val="0"/>
        <w:keepLines w:val="0"/>
        <w:pageBreakBefore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方正仿宋_GBK" w:hAnsi="方正仿宋_GBK" w:eastAsia="方正仿宋_GBK" w:cs="方正仿宋_GBK"/>
          <w:b w:val="0"/>
          <w:bCs w:val="0"/>
        </w:rPr>
      </w:pPr>
      <w:r>
        <w:rPr>
          <w:rFonts w:hint="eastAsia" w:ascii="方正仿宋_GBK" w:hAnsi="方正仿宋_GBK" w:eastAsia="方正仿宋_GBK" w:cs="方正仿宋_GBK"/>
          <w:b w:val="0"/>
          <w:bCs w:val="0"/>
        </w:rPr>
        <w:t>（3）激励约束。绩效评价结果应与预算安排、政策调整、改进管理实质性挂钩，体现奖优罚劣和激励相容导向，有效要安排、低效要压减、无效要问责。</w:t>
      </w:r>
    </w:p>
    <w:p>
      <w:pPr>
        <w:pStyle w:val="2"/>
        <w:keepNext w:val="0"/>
        <w:keepLines w:val="0"/>
        <w:pageBreakBefore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方正仿宋_GBK" w:hAnsi="方正仿宋_GBK" w:eastAsia="方正仿宋_GBK" w:cs="方正仿宋_GBK"/>
          <w:b w:val="0"/>
          <w:bCs w:val="0"/>
        </w:rPr>
      </w:pPr>
      <w:r>
        <w:rPr>
          <w:rFonts w:hint="eastAsia" w:ascii="方正仿宋_GBK" w:hAnsi="方正仿宋_GBK" w:eastAsia="方正仿宋_GBK" w:cs="方正仿宋_GBK"/>
          <w:b w:val="0"/>
          <w:bCs w:val="0"/>
        </w:rPr>
        <w:t>（4）公开透明。绩效评价结果应依法依规公开，并自觉接受社会监督。</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方正仿宋_GBK" w:hAnsi="方正仿宋_GBK" w:eastAsia="方正仿宋_GBK" w:cs="方正仿宋_GBK"/>
          <w:b w:val="0"/>
          <w:bCs w:val="0"/>
        </w:rPr>
      </w:pPr>
      <w:r>
        <w:rPr>
          <w:rFonts w:hint="eastAsia" w:ascii="方正仿宋_GBK" w:hAnsi="方正仿宋_GBK" w:eastAsia="方正仿宋_GBK" w:cs="方正仿宋_GBK"/>
          <w:b w:val="0"/>
          <w:bCs w:val="0"/>
        </w:rPr>
        <w:t>2、评价指标体系</w:t>
      </w:r>
    </w:p>
    <w:p>
      <w:pPr>
        <w:keepNext w:val="0"/>
        <w:keepLines w:val="0"/>
        <w:pageBreakBefore w:val="0"/>
        <w:kinsoku/>
        <w:wordWrap/>
        <w:overflowPunct/>
        <w:topLinePunct w:val="0"/>
        <w:autoSpaceDE/>
        <w:autoSpaceDN/>
        <w:bidi w:val="0"/>
        <w:adjustRightInd/>
        <w:snapToGrid/>
        <w:spacing w:line="560" w:lineRule="exact"/>
        <w:ind w:firstLine="708" w:firstLineChars="200"/>
        <w:textAlignment w:val="auto"/>
        <w:rPr>
          <w:color w:val="000000"/>
          <w:spacing w:val="17"/>
          <w:sz w:val="32"/>
          <w:szCs w:val="32"/>
        </w:rPr>
      </w:pPr>
      <w:r>
        <w:rPr>
          <w:rFonts w:eastAsia="仿宋_GB2312"/>
          <w:color w:val="000000"/>
          <w:spacing w:val="17"/>
          <w:sz w:val="32"/>
          <w:szCs w:val="32"/>
        </w:rPr>
        <w:t>绩效评价框架是开展绩效评价的核心。绩效评价框架包括评价准则、关键评价问题、评价指标、数据来源、数据收集方法等。指标体系建立过程如下：</w:t>
      </w:r>
    </w:p>
    <w:p>
      <w:pPr>
        <w:keepNext w:val="0"/>
        <w:keepLines w:val="0"/>
        <w:pageBreakBefore w:val="0"/>
        <w:kinsoku/>
        <w:wordWrap/>
        <w:overflowPunct/>
        <w:topLinePunct w:val="0"/>
        <w:autoSpaceDE/>
        <w:autoSpaceDN/>
        <w:bidi w:val="0"/>
        <w:adjustRightInd/>
        <w:snapToGrid/>
        <w:spacing w:line="560" w:lineRule="exact"/>
        <w:ind w:firstLine="708" w:firstLineChars="200"/>
        <w:textAlignment w:val="auto"/>
        <w:rPr>
          <w:rFonts w:hint="eastAsia" w:ascii="方正仿宋_GBK" w:hAnsi="方正仿宋_GBK" w:eastAsia="方正仿宋_GBK" w:cs="方正仿宋_GBK"/>
          <w:color w:val="000000"/>
          <w:spacing w:val="17"/>
          <w:sz w:val="32"/>
          <w:szCs w:val="32"/>
        </w:rPr>
      </w:pPr>
      <w:r>
        <w:rPr>
          <w:rFonts w:hint="eastAsia" w:ascii="方正仿宋_GBK" w:hAnsi="方正仿宋_GBK" w:eastAsia="方正仿宋_GBK" w:cs="方正仿宋_GBK"/>
          <w:color w:val="000000"/>
          <w:spacing w:val="17"/>
          <w:sz w:val="32"/>
          <w:szCs w:val="32"/>
        </w:rPr>
        <w:t>（1）确定评价指标</w:t>
      </w:r>
    </w:p>
    <w:p>
      <w:pPr>
        <w:keepNext w:val="0"/>
        <w:keepLines w:val="0"/>
        <w:pageBreakBefore w:val="0"/>
        <w:kinsoku/>
        <w:wordWrap/>
        <w:overflowPunct/>
        <w:topLinePunct w:val="0"/>
        <w:autoSpaceDE/>
        <w:autoSpaceDN/>
        <w:bidi w:val="0"/>
        <w:adjustRightInd/>
        <w:snapToGrid/>
        <w:spacing w:line="560" w:lineRule="exact"/>
        <w:ind w:firstLine="708" w:firstLineChars="200"/>
        <w:textAlignment w:val="auto"/>
        <w:rPr>
          <w:rFonts w:eastAsia="仿宋_GB2312"/>
          <w:color w:val="000000"/>
          <w:spacing w:val="17"/>
          <w:sz w:val="32"/>
          <w:szCs w:val="32"/>
        </w:rPr>
      </w:pPr>
      <w:r>
        <w:rPr>
          <w:rFonts w:hint="eastAsia" w:ascii="方正仿宋_GBK" w:hAnsi="方正仿宋_GBK" w:eastAsia="方正仿宋_GBK" w:cs="方正仿宋_GBK"/>
          <w:color w:val="000000"/>
          <w:spacing w:val="17"/>
          <w:sz w:val="32"/>
          <w:szCs w:val="32"/>
        </w:rPr>
        <w:t>采用层次分</w:t>
      </w:r>
      <w:r>
        <w:rPr>
          <w:rFonts w:eastAsia="仿宋_GB2312"/>
          <w:color w:val="000000"/>
          <w:spacing w:val="17"/>
          <w:sz w:val="32"/>
          <w:szCs w:val="32"/>
        </w:rPr>
        <w:t>析法，建立评价指标体系。绩效评价将指标分为项目决策指标、项目过程指标、项目产出指标、项目效益指标四个维度，最终形成一个由多个相互联系的指标组成的多层次指标体系。</w:t>
      </w:r>
    </w:p>
    <w:p>
      <w:pPr>
        <w:keepNext w:val="0"/>
        <w:keepLines w:val="0"/>
        <w:pageBreakBefore w:val="0"/>
        <w:kinsoku/>
        <w:wordWrap/>
        <w:overflowPunct/>
        <w:topLinePunct w:val="0"/>
        <w:autoSpaceDE/>
        <w:autoSpaceDN/>
        <w:bidi w:val="0"/>
        <w:adjustRightInd/>
        <w:snapToGrid/>
        <w:spacing w:line="560" w:lineRule="exact"/>
        <w:ind w:firstLine="708" w:firstLineChars="200"/>
        <w:textAlignment w:val="auto"/>
        <w:rPr>
          <w:rFonts w:hint="eastAsia" w:ascii="方正仿宋_GBK" w:hAnsi="方正仿宋_GBK" w:eastAsia="方正仿宋_GBK" w:cs="方正仿宋_GBK"/>
          <w:color w:val="000000"/>
          <w:spacing w:val="17"/>
          <w:sz w:val="32"/>
          <w:szCs w:val="32"/>
        </w:rPr>
      </w:pPr>
      <w:r>
        <w:rPr>
          <w:rFonts w:hint="eastAsia" w:ascii="方正仿宋_GBK" w:hAnsi="方正仿宋_GBK" w:eastAsia="方正仿宋_GBK" w:cs="方正仿宋_GBK"/>
          <w:color w:val="000000"/>
          <w:spacing w:val="17"/>
          <w:sz w:val="32"/>
          <w:szCs w:val="32"/>
        </w:rPr>
        <w:t>（2）确定权重</w:t>
      </w:r>
    </w:p>
    <w:p>
      <w:pPr>
        <w:keepNext w:val="0"/>
        <w:keepLines w:val="0"/>
        <w:pageBreakBefore w:val="0"/>
        <w:kinsoku/>
        <w:wordWrap/>
        <w:overflowPunct/>
        <w:topLinePunct w:val="0"/>
        <w:autoSpaceDE/>
        <w:autoSpaceDN/>
        <w:bidi w:val="0"/>
        <w:adjustRightInd/>
        <w:snapToGrid/>
        <w:spacing w:line="560" w:lineRule="exact"/>
        <w:ind w:firstLine="708" w:firstLineChars="200"/>
        <w:textAlignment w:val="auto"/>
        <w:rPr>
          <w:rFonts w:hint="eastAsia" w:ascii="方正仿宋_GBK" w:hAnsi="方正仿宋_GBK" w:eastAsia="方正仿宋_GBK" w:cs="方正仿宋_GBK"/>
          <w:color w:val="000000"/>
          <w:spacing w:val="17"/>
          <w:sz w:val="32"/>
          <w:szCs w:val="32"/>
        </w:rPr>
      </w:pPr>
      <w:r>
        <w:rPr>
          <w:rFonts w:hint="eastAsia" w:ascii="方正仿宋_GBK" w:hAnsi="方正仿宋_GBK" w:eastAsia="方正仿宋_GBK" w:cs="方正仿宋_GBK"/>
          <w:color w:val="000000"/>
          <w:spacing w:val="17"/>
          <w:sz w:val="32"/>
          <w:szCs w:val="32"/>
        </w:rPr>
        <w:t>确定各个指标相对于项目总体绩效的权重分值。在绩效评价指标体系中，项目决策权重为20分，项目过程权重为20分，项目产出权重为40分，项目效益权重为20分。</w:t>
      </w:r>
    </w:p>
    <w:p>
      <w:pPr>
        <w:keepNext w:val="0"/>
        <w:keepLines w:val="0"/>
        <w:pageBreakBefore w:val="0"/>
        <w:kinsoku/>
        <w:wordWrap/>
        <w:overflowPunct/>
        <w:topLinePunct w:val="0"/>
        <w:autoSpaceDE/>
        <w:autoSpaceDN/>
        <w:bidi w:val="0"/>
        <w:adjustRightInd/>
        <w:snapToGrid/>
        <w:spacing w:line="560" w:lineRule="exact"/>
        <w:ind w:firstLine="708" w:firstLineChars="200"/>
        <w:textAlignment w:val="auto"/>
        <w:rPr>
          <w:rFonts w:hint="eastAsia" w:ascii="方正仿宋_GBK" w:hAnsi="方正仿宋_GBK" w:eastAsia="方正仿宋_GBK" w:cs="方正仿宋_GBK"/>
          <w:color w:val="000000"/>
          <w:spacing w:val="17"/>
          <w:sz w:val="32"/>
          <w:szCs w:val="32"/>
        </w:rPr>
      </w:pPr>
      <w:r>
        <w:rPr>
          <w:rFonts w:hint="eastAsia" w:ascii="方正仿宋_GBK" w:hAnsi="方正仿宋_GBK" w:eastAsia="方正仿宋_GBK" w:cs="方正仿宋_GBK"/>
          <w:color w:val="000000"/>
          <w:spacing w:val="17"/>
          <w:sz w:val="32"/>
          <w:szCs w:val="32"/>
        </w:rPr>
        <w:t>（3）确定指标标准值</w:t>
      </w:r>
    </w:p>
    <w:p>
      <w:pPr>
        <w:keepNext w:val="0"/>
        <w:keepLines w:val="0"/>
        <w:pageBreakBefore w:val="0"/>
        <w:kinsoku/>
        <w:wordWrap/>
        <w:overflowPunct/>
        <w:topLinePunct w:val="0"/>
        <w:autoSpaceDE/>
        <w:autoSpaceDN/>
        <w:bidi w:val="0"/>
        <w:adjustRightInd/>
        <w:snapToGrid/>
        <w:spacing w:line="560" w:lineRule="exact"/>
        <w:ind w:firstLine="708" w:firstLineChars="200"/>
        <w:textAlignment w:val="auto"/>
        <w:rPr>
          <w:rFonts w:hint="eastAsia" w:ascii="方正仿宋_GBK" w:hAnsi="方正仿宋_GBK" w:eastAsia="方正仿宋_GBK" w:cs="方正仿宋_GBK"/>
          <w:color w:val="000000"/>
          <w:spacing w:val="17"/>
          <w:sz w:val="32"/>
          <w:szCs w:val="32"/>
        </w:rPr>
      </w:pPr>
      <w:r>
        <w:rPr>
          <w:rFonts w:hint="eastAsia" w:ascii="方正仿宋_GBK" w:hAnsi="方正仿宋_GBK" w:eastAsia="方正仿宋_GBK" w:cs="方正仿宋_GBK"/>
          <w:color w:val="000000"/>
          <w:spacing w:val="17"/>
          <w:sz w:val="32"/>
          <w:szCs w:val="32"/>
        </w:rPr>
        <w:t>指标标准值是绩效评价指标的尺度，既要反映同类项目的先进水平，又要符合项目的实际绩效水平。具体采用计划标准等确定此次绩效评价指标标准值。</w:t>
      </w:r>
    </w:p>
    <w:p>
      <w:pPr>
        <w:pStyle w:val="2"/>
        <w:keepNext w:val="0"/>
        <w:keepLines w:val="0"/>
        <w:pageBreakBefore w:val="0"/>
        <w:kinsoku/>
        <w:wordWrap/>
        <w:overflowPunct/>
        <w:topLinePunct w:val="0"/>
        <w:autoSpaceDE/>
        <w:autoSpaceDN/>
        <w:bidi w:val="0"/>
        <w:adjustRightInd/>
        <w:snapToGrid/>
        <w:spacing w:before="0" w:after="0" w:line="560" w:lineRule="exact"/>
        <w:ind w:firstLine="708" w:firstLineChars="200"/>
        <w:jc w:val="both"/>
        <w:textAlignment w:val="auto"/>
        <w:rPr>
          <w:rFonts w:hint="eastAsia" w:ascii="方正仿宋_GBK" w:hAnsi="方正仿宋_GBK" w:eastAsia="方正仿宋_GBK" w:cs="方正仿宋_GBK"/>
          <w:b w:val="0"/>
          <w:bCs w:val="0"/>
          <w:color w:val="000000"/>
          <w:spacing w:val="17"/>
          <w:kern w:val="2"/>
        </w:rPr>
      </w:pPr>
      <w:r>
        <w:rPr>
          <w:rFonts w:hint="eastAsia" w:ascii="方正仿宋_GBK" w:hAnsi="方正仿宋_GBK" w:eastAsia="方正仿宋_GBK" w:cs="方正仿宋_GBK"/>
          <w:b w:val="0"/>
          <w:bCs w:val="0"/>
          <w:color w:val="000000"/>
          <w:spacing w:val="17"/>
          <w:kern w:val="2"/>
        </w:rPr>
        <w:t>绩效评价总分值100分，根据综合评分结果，评价计分90分-100分（含90分）对应的评分结果级别为优，80-90分（含80分）对应的评分结果级别为良，60-80分（含60分）对应的评分结果级别为中，60分以下对应的评分结果级别为差。</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708" w:firstLineChars="200"/>
        <w:jc w:val="both"/>
        <w:textAlignment w:val="auto"/>
        <w:outlineLvl w:val="9"/>
        <w:rPr>
          <w:rFonts w:hint="eastAsia" w:ascii="方正仿宋_GBK" w:hAnsi="方正仿宋_GBK" w:eastAsia="方正仿宋_GBK" w:cs="方正仿宋_GBK"/>
          <w:b w:val="0"/>
          <w:bCs w:val="0"/>
          <w:color w:val="000000"/>
          <w:spacing w:val="17"/>
        </w:rPr>
      </w:pPr>
      <w:r>
        <w:rPr>
          <w:rFonts w:hint="eastAsia" w:ascii="方正仿宋_GBK" w:hAnsi="方正仿宋_GBK" w:eastAsia="方正仿宋_GBK" w:cs="方正仿宋_GBK"/>
          <w:b w:val="0"/>
          <w:bCs w:val="0"/>
          <w:color w:val="000000"/>
          <w:spacing w:val="17"/>
        </w:rPr>
        <w:t>具体评价指标体系详情见附件1</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方正仿宋_GBK" w:hAnsi="方正仿宋_GBK" w:eastAsia="方正仿宋_GBK" w:cs="方正仿宋_GBK"/>
          <w:b w:val="0"/>
          <w:bCs w:val="0"/>
        </w:rPr>
      </w:pPr>
      <w:r>
        <w:rPr>
          <w:rFonts w:hint="eastAsia" w:ascii="方正仿宋_GBK" w:hAnsi="方正仿宋_GBK" w:eastAsia="方正仿宋_GBK" w:cs="方正仿宋_GBK"/>
          <w:b w:val="0"/>
          <w:bCs w:val="0"/>
        </w:rPr>
        <w:t>3、绩效评价方法</w:t>
      </w:r>
    </w:p>
    <w:p>
      <w:pPr>
        <w:keepNext w:val="0"/>
        <w:keepLines w:val="0"/>
        <w:pageBreakBefore w:val="0"/>
        <w:kinsoku/>
        <w:wordWrap/>
        <w:overflowPunct/>
        <w:topLinePunct w:val="0"/>
        <w:autoSpaceDE/>
        <w:autoSpaceDN/>
        <w:bidi w:val="0"/>
        <w:adjustRightInd/>
        <w:snapToGrid/>
        <w:spacing w:line="560" w:lineRule="exact"/>
        <w:ind w:firstLine="708" w:firstLineChars="200"/>
        <w:textAlignment w:val="auto"/>
        <w:rPr>
          <w:rFonts w:eastAsia="仿宋_GB2312"/>
          <w:color w:val="000000"/>
          <w:spacing w:val="17"/>
          <w:sz w:val="32"/>
          <w:szCs w:val="32"/>
        </w:rPr>
      </w:pPr>
      <w:r>
        <w:rPr>
          <w:rFonts w:eastAsia="仿宋_GB2312"/>
          <w:color w:val="000000"/>
          <w:spacing w:val="17"/>
          <w:sz w:val="32"/>
          <w:szCs w:val="32"/>
        </w:rPr>
        <w:t>绩效评价从项目决策、项目过程、项目产出、项目效益四个维度进行评价。评价对象为项目目标实施情况，  评价核心为资金的支出完成情况和项目的产出效益。</w:t>
      </w:r>
    </w:p>
    <w:p>
      <w:pPr>
        <w:keepNext w:val="0"/>
        <w:keepLines w:val="0"/>
        <w:pageBreakBefore w:val="0"/>
        <w:kinsoku/>
        <w:wordWrap/>
        <w:overflowPunct/>
        <w:topLinePunct w:val="0"/>
        <w:autoSpaceDE/>
        <w:autoSpaceDN/>
        <w:bidi w:val="0"/>
        <w:adjustRightInd/>
        <w:snapToGrid/>
        <w:spacing w:line="560" w:lineRule="exact"/>
        <w:ind w:firstLine="708" w:firstLineChars="200"/>
        <w:textAlignment w:val="auto"/>
        <w:rPr>
          <w:rFonts w:eastAsia="仿宋_GB2312"/>
          <w:color w:val="000000"/>
          <w:spacing w:val="17"/>
          <w:sz w:val="32"/>
          <w:szCs w:val="32"/>
        </w:rPr>
      </w:pPr>
      <w:r>
        <w:rPr>
          <w:rFonts w:eastAsia="仿宋_GB2312"/>
          <w:color w:val="000000"/>
          <w:spacing w:val="17"/>
          <w:sz w:val="32"/>
          <w:szCs w:val="32"/>
        </w:rPr>
        <w:t>本次评价指标中，既有定性指标又有定量指标，各类指标因考核内容不同和客观标准不同存在较大差异，因此核定具体指标时采用了不同方法，具体评价方法如下：</w:t>
      </w:r>
    </w:p>
    <w:p>
      <w:pPr>
        <w:keepNext w:val="0"/>
        <w:keepLines w:val="0"/>
        <w:pageBreakBefore w:val="0"/>
        <w:kinsoku/>
        <w:wordWrap/>
        <w:overflowPunct/>
        <w:topLinePunct w:val="0"/>
        <w:autoSpaceDE/>
        <w:autoSpaceDN/>
        <w:bidi w:val="0"/>
        <w:adjustRightInd/>
        <w:snapToGrid/>
        <w:spacing w:line="560" w:lineRule="exact"/>
        <w:ind w:firstLine="708" w:firstLineChars="200"/>
        <w:textAlignment w:val="auto"/>
        <w:rPr>
          <w:rFonts w:hint="eastAsia" w:ascii="方正仿宋_GBK" w:hAnsi="方正仿宋_GBK" w:eastAsia="方正仿宋_GBK" w:cs="方正仿宋_GBK"/>
          <w:color w:val="000000"/>
          <w:spacing w:val="17"/>
          <w:sz w:val="32"/>
          <w:szCs w:val="32"/>
        </w:rPr>
      </w:pPr>
      <w:r>
        <w:rPr>
          <w:rFonts w:hint="eastAsia" w:ascii="方正仿宋_GBK" w:hAnsi="方正仿宋_GBK" w:eastAsia="方正仿宋_GBK" w:cs="方正仿宋_GBK"/>
          <w:color w:val="000000"/>
          <w:spacing w:val="17"/>
          <w:sz w:val="32"/>
          <w:szCs w:val="32"/>
        </w:rPr>
        <w:t>（1）比较法</w:t>
      </w:r>
    </w:p>
    <w:p>
      <w:pPr>
        <w:keepNext w:val="0"/>
        <w:keepLines w:val="0"/>
        <w:pageBreakBefore w:val="0"/>
        <w:kinsoku/>
        <w:wordWrap/>
        <w:overflowPunct/>
        <w:topLinePunct w:val="0"/>
        <w:autoSpaceDE/>
        <w:autoSpaceDN/>
        <w:bidi w:val="0"/>
        <w:adjustRightInd/>
        <w:snapToGrid/>
        <w:spacing w:line="560" w:lineRule="exact"/>
        <w:ind w:firstLine="708" w:firstLineChars="200"/>
        <w:textAlignment w:val="auto"/>
        <w:rPr>
          <w:rFonts w:hint="eastAsia" w:ascii="方正仿宋_GBK" w:hAnsi="方正仿宋_GBK" w:eastAsia="方正仿宋_GBK" w:cs="方正仿宋_GBK"/>
          <w:color w:val="000000"/>
          <w:spacing w:val="17"/>
          <w:sz w:val="32"/>
          <w:szCs w:val="32"/>
        </w:rPr>
      </w:pPr>
      <w:r>
        <w:rPr>
          <w:rFonts w:hint="eastAsia" w:ascii="方正仿宋_GBK" w:hAnsi="方正仿宋_GBK" w:eastAsia="方正仿宋_GBK" w:cs="方正仿宋_GBK"/>
          <w:color w:val="000000"/>
          <w:spacing w:val="17"/>
          <w:sz w:val="32"/>
          <w:szCs w:val="32"/>
        </w:rPr>
        <w:t>通过对绩效目标与实施效果、历史与当期情况，综合分析绩效目标实现程度。对</w:t>
      </w:r>
      <w:r>
        <w:rPr>
          <w:rFonts w:hint="eastAsia" w:ascii="方正仿宋_GBK" w:hAnsi="方正仿宋_GBK" w:eastAsia="方正仿宋_GBK" w:cs="方正仿宋_GBK"/>
          <w:sz w:val="32"/>
          <w:szCs w:val="32"/>
        </w:rPr>
        <w:t>项目</w:t>
      </w:r>
      <w:r>
        <w:rPr>
          <w:rFonts w:hint="eastAsia" w:ascii="方正仿宋_GBK" w:hAnsi="方正仿宋_GBK" w:eastAsia="方正仿宋_GBK" w:cs="方正仿宋_GBK"/>
          <w:color w:val="000000"/>
          <w:spacing w:val="17"/>
          <w:sz w:val="32"/>
          <w:szCs w:val="32"/>
        </w:rPr>
        <w:t>最终验收情况与年度绩效目标对比、预算资金执行情况等相关因素进行比较。</w:t>
      </w:r>
    </w:p>
    <w:p>
      <w:pPr>
        <w:keepNext w:val="0"/>
        <w:keepLines w:val="0"/>
        <w:pageBreakBefore w:val="0"/>
        <w:kinsoku/>
        <w:wordWrap/>
        <w:overflowPunct/>
        <w:topLinePunct w:val="0"/>
        <w:autoSpaceDE/>
        <w:autoSpaceDN/>
        <w:bidi w:val="0"/>
        <w:adjustRightInd/>
        <w:snapToGrid/>
        <w:spacing w:line="560" w:lineRule="exact"/>
        <w:ind w:firstLine="708" w:firstLineChars="200"/>
        <w:textAlignment w:val="auto"/>
        <w:rPr>
          <w:rFonts w:hint="eastAsia" w:ascii="方正仿宋_GBK" w:hAnsi="方正仿宋_GBK" w:eastAsia="方正仿宋_GBK" w:cs="方正仿宋_GBK"/>
          <w:color w:val="000000"/>
          <w:spacing w:val="17"/>
          <w:sz w:val="32"/>
          <w:szCs w:val="32"/>
        </w:rPr>
      </w:pPr>
      <w:r>
        <w:rPr>
          <w:rFonts w:hint="eastAsia" w:ascii="方正仿宋_GBK" w:hAnsi="方正仿宋_GBK" w:eastAsia="方正仿宋_GBK" w:cs="方正仿宋_GBK"/>
          <w:color w:val="000000"/>
          <w:spacing w:val="17"/>
          <w:sz w:val="32"/>
          <w:szCs w:val="32"/>
        </w:rPr>
        <w:t>（2）因素分析法</w:t>
      </w:r>
    </w:p>
    <w:p>
      <w:pPr>
        <w:keepNext w:val="0"/>
        <w:keepLines w:val="0"/>
        <w:pageBreakBefore w:val="0"/>
        <w:kinsoku/>
        <w:wordWrap/>
        <w:overflowPunct/>
        <w:topLinePunct w:val="0"/>
        <w:autoSpaceDE/>
        <w:autoSpaceDN/>
        <w:bidi w:val="0"/>
        <w:adjustRightInd/>
        <w:snapToGrid/>
        <w:spacing w:line="560" w:lineRule="exact"/>
        <w:ind w:firstLine="708" w:firstLineChars="200"/>
        <w:textAlignment w:val="auto"/>
        <w:rPr>
          <w:rFonts w:hint="eastAsia" w:ascii="方正仿宋_GBK" w:hAnsi="方正仿宋_GBK" w:eastAsia="方正仿宋_GBK" w:cs="方正仿宋_GBK"/>
          <w:color w:val="000000"/>
          <w:spacing w:val="17"/>
          <w:sz w:val="32"/>
          <w:szCs w:val="32"/>
        </w:rPr>
      </w:pPr>
      <w:r>
        <w:rPr>
          <w:rFonts w:hint="eastAsia" w:ascii="方正仿宋_GBK" w:hAnsi="方正仿宋_GBK" w:eastAsia="方正仿宋_GBK" w:cs="方正仿宋_GBK"/>
          <w:color w:val="000000"/>
          <w:spacing w:val="17"/>
          <w:sz w:val="32"/>
          <w:szCs w:val="32"/>
        </w:rPr>
        <w:t>通过综合分析影响绩效目标实现、实施效果的内外因素，评价绩效目标实现程度。通过对</w:t>
      </w:r>
      <w:r>
        <w:rPr>
          <w:rFonts w:hint="eastAsia" w:ascii="方正仿宋_GBK" w:hAnsi="方正仿宋_GBK" w:eastAsia="方正仿宋_GBK" w:cs="方正仿宋_GBK"/>
          <w:sz w:val="32"/>
          <w:szCs w:val="32"/>
        </w:rPr>
        <w:t>项目</w:t>
      </w:r>
      <w:r>
        <w:rPr>
          <w:rFonts w:hint="eastAsia" w:ascii="方正仿宋_GBK" w:hAnsi="方正仿宋_GBK" w:eastAsia="方正仿宋_GBK" w:cs="方正仿宋_GBK"/>
          <w:color w:val="000000"/>
          <w:spacing w:val="17"/>
          <w:sz w:val="32"/>
          <w:szCs w:val="32"/>
        </w:rPr>
        <w:t>的开展情况、项目产出数量、成本控制、资金拨付文件及自评报告等相关资料的收集和审核，综合分析各因素对绩效目标实现的影响。</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方正仿宋_GBK" w:hAnsi="方正仿宋_GBK" w:eastAsia="方正仿宋_GBK" w:cs="方正仿宋_GBK"/>
          <w:b w:val="0"/>
          <w:bCs w:val="0"/>
        </w:rPr>
      </w:pPr>
      <w:r>
        <w:rPr>
          <w:rFonts w:hint="eastAsia" w:ascii="方正仿宋_GBK" w:hAnsi="方正仿宋_GBK" w:eastAsia="方正仿宋_GBK" w:cs="方正仿宋_GBK"/>
          <w:b w:val="0"/>
          <w:bCs w:val="0"/>
        </w:rPr>
        <w:t>4、评价标准</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eastAsia="仿宋_GB2312"/>
          <w:color w:val="000000"/>
          <w:spacing w:val="17"/>
          <w:sz w:val="32"/>
          <w:szCs w:val="32"/>
        </w:rPr>
      </w:pPr>
      <w:r>
        <w:rPr>
          <w:rFonts w:hint="eastAsia" w:ascii="方正仿宋_GBK" w:hAnsi="方正仿宋_GBK" w:eastAsia="方正仿宋_GBK" w:cs="方正仿宋_GBK"/>
          <w:color w:val="000000"/>
          <w:spacing w:val="17"/>
          <w:sz w:val="32"/>
          <w:szCs w:val="32"/>
        </w:rPr>
        <w:t>绩效评价标准通常包括计划标准、行业标准、历史标准等，用于对绩效指标完成情况进行比较、分析、评价。本次评价主要采用了计划标准。</w:t>
      </w:r>
    </w:p>
    <w:p>
      <w:pPr>
        <w:pStyle w:val="2"/>
        <w:keepNext w:val="0"/>
        <w:keepLines w:val="0"/>
        <w:pageBreakBefore w:val="0"/>
        <w:numPr>
          <w:ilvl w:val="0"/>
          <w:numId w:val="1"/>
        </w:numPr>
        <w:kinsoku/>
        <w:wordWrap/>
        <w:overflowPunct/>
        <w:topLinePunct w:val="0"/>
        <w:autoSpaceDE/>
        <w:autoSpaceDN/>
        <w:bidi w:val="0"/>
        <w:adjustRightInd/>
        <w:snapToGrid/>
        <w:spacing w:before="0" w:after="0" w:line="560" w:lineRule="exact"/>
        <w:ind w:firstLine="710" w:firstLineChars="200"/>
        <w:jc w:val="both"/>
        <w:textAlignment w:val="auto"/>
        <w:rPr>
          <w:rFonts w:ascii="楷体" w:hAnsi="楷体" w:eastAsia="楷体" w:cs="楷体"/>
          <w:color w:val="000000"/>
          <w:spacing w:val="17"/>
        </w:rPr>
      </w:pPr>
      <w:r>
        <w:rPr>
          <w:rFonts w:hint="eastAsia" w:ascii="楷体" w:hAnsi="楷体" w:eastAsia="楷体" w:cs="楷体"/>
          <w:color w:val="000000"/>
          <w:spacing w:val="17"/>
        </w:rPr>
        <w:t>绩效评价工作过程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bCs/>
          <w:sz w:val="32"/>
          <w:szCs w:val="32"/>
        </w:rPr>
      </w:pPr>
      <w:r>
        <w:rPr>
          <w:rFonts w:hint="eastAsia" w:eastAsia="仿宋_GB2312"/>
          <w:bCs/>
          <w:sz w:val="32"/>
          <w:szCs w:val="32"/>
        </w:rPr>
        <w:t>1.前期准备。首先成立评价工作组，开展前期调研；其次明确项目绩效目标，设计绩效评价指标体系并确定绩效评价方法；接着确定现场和非现场评价范围，设计资料清单；最后制定评价实施方案并进行论证。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bCs/>
          <w:sz w:val="32"/>
          <w:szCs w:val="32"/>
        </w:rPr>
      </w:pPr>
      <w:r>
        <w:rPr>
          <w:rFonts w:hint="eastAsia" w:eastAsia="仿宋_GB2312"/>
          <w:bCs/>
          <w:sz w:val="32"/>
          <w:szCs w:val="32"/>
        </w:rPr>
        <w:t>2.组织实施。制定绩效评价工作方案，具体包括项目概况、评价思路、方法手段、组织实施、进度安排等。收集项目立项依据、相关会议纪要、实施方案、财政资金分配方案、支付管理情况等相关评价资料并进行梳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sz w:val="32"/>
          <w:szCs w:val="32"/>
        </w:rPr>
      </w:pPr>
      <w:r>
        <w:rPr>
          <w:rFonts w:hint="eastAsia" w:eastAsia="仿宋_GB2312"/>
          <w:bCs/>
          <w:sz w:val="32"/>
          <w:szCs w:val="32"/>
        </w:rPr>
        <w:t>3.分析评价。根据收集梳理的资料围绕项目立项、资金落实、业务管理、财务管理、项目产出、项目效益等内容，对照已确定的绩效评价指标进行详细全面的分析评价，逐项打分并形成绩效评价最终结果。</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eastAsia="黑体"/>
          <w:sz w:val="32"/>
          <w:szCs w:val="32"/>
        </w:rPr>
      </w:pPr>
      <w:r>
        <w:rPr>
          <w:rFonts w:eastAsia="黑体"/>
          <w:sz w:val="32"/>
          <w:szCs w:val="32"/>
        </w:rPr>
        <w:t>综合评价情况及评价结论（附相关评分表）</w:t>
      </w:r>
    </w:p>
    <w:p>
      <w:pPr>
        <w:pStyle w:val="2"/>
        <w:keepNext w:val="0"/>
        <w:keepLines w:val="0"/>
        <w:pageBreakBefore w:val="0"/>
        <w:kinsoku/>
        <w:wordWrap/>
        <w:overflowPunct/>
        <w:topLinePunct w:val="0"/>
        <w:autoSpaceDE/>
        <w:autoSpaceDN/>
        <w:bidi w:val="0"/>
        <w:adjustRightInd/>
        <w:snapToGrid/>
        <w:spacing w:before="0" w:after="0" w:line="560" w:lineRule="exact"/>
        <w:ind w:firstLine="642" w:firstLineChars="200"/>
        <w:jc w:val="both"/>
        <w:textAlignment w:val="auto"/>
        <w:rPr>
          <w:rFonts w:ascii="Times New Roman" w:hAnsi="Times New Roman" w:eastAsia="楷体_GB2312"/>
        </w:rPr>
      </w:pPr>
      <w:r>
        <w:rPr>
          <w:rFonts w:hint="eastAsia" w:ascii="Times New Roman" w:hAnsi="Times New Roman" w:eastAsia="楷体_GB2312"/>
        </w:rPr>
        <w:t>（一）评价情况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eastAsia="仿宋_GB2312"/>
          <w:kern w:val="28"/>
          <w:sz w:val="32"/>
          <w:szCs w:val="32"/>
        </w:rPr>
      </w:pPr>
      <w:r>
        <w:rPr>
          <w:rFonts w:hint="eastAsia" w:eastAsia="仿宋_GB2312"/>
          <w:kern w:val="28"/>
          <w:sz w:val="32"/>
          <w:szCs w:val="32"/>
        </w:rPr>
        <w:t>项目总体组织规范，在项目实施过程做到认真履职，监督到位。按照相关制度的要求，项目负责人对项目绩效监控执行情况进行跟踪监督，有效完成了本项目的工作目标，确保资金使用安全和最大效益的发挥，保障项目如期按要求完成。规范了项目档案资料的整理。项目的实施达到项目预期效果。</w:t>
      </w:r>
    </w:p>
    <w:p>
      <w:pPr>
        <w:pStyle w:val="2"/>
        <w:keepNext w:val="0"/>
        <w:keepLines w:val="0"/>
        <w:pageBreakBefore w:val="0"/>
        <w:kinsoku/>
        <w:wordWrap/>
        <w:overflowPunct/>
        <w:topLinePunct w:val="0"/>
        <w:autoSpaceDE/>
        <w:autoSpaceDN/>
        <w:bidi w:val="0"/>
        <w:adjustRightInd/>
        <w:snapToGrid/>
        <w:spacing w:before="0" w:after="0" w:line="560" w:lineRule="exact"/>
        <w:ind w:firstLine="642" w:firstLineChars="200"/>
        <w:jc w:val="both"/>
        <w:textAlignment w:val="auto"/>
        <w:rPr>
          <w:rFonts w:ascii="Times New Roman" w:hAnsi="Times New Roman" w:eastAsia="楷体_GB2312"/>
        </w:rPr>
      </w:pPr>
      <w:r>
        <w:rPr>
          <w:rFonts w:hint="eastAsia" w:ascii="Times New Roman" w:hAnsi="Times New Roman" w:eastAsia="楷体_GB2312"/>
        </w:rPr>
        <w:t>（二）评价结论</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ascii="Times New Roman" w:hAnsi="Times New Roman" w:eastAsia="仿宋_GB2312"/>
          <w:b w:val="0"/>
          <w:bCs w:val="0"/>
        </w:rPr>
      </w:pPr>
      <w:r>
        <w:rPr>
          <w:rFonts w:hint="eastAsia" w:ascii="Times New Roman" w:hAnsi="Times New Roman" w:eastAsia="仿宋_GB2312"/>
          <w:b w:val="0"/>
          <w:bCs w:val="0"/>
        </w:rPr>
        <w:t>运用绩效评价组制定的评价指标体系以及财政部《项目支出绩效评价管理办</w:t>
      </w:r>
      <w:r>
        <w:rPr>
          <w:rFonts w:hint="eastAsia" w:ascii="方正仿宋_GBK" w:hAnsi="方正仿宋_GBK" w:eastAsia="方正仿宋_GBK" w:cs="方正仿宋_GBK"/>
          <w:b w:val="0"/>
          <w:bCs w:val="0"/>
        </w:rPr>
        <w:t>法》（财预〔2020〕10号）文件的评分标准，</w:t>
      </w:r>
      <w:r>
        <w:rPr>
          <w:rFonts w:hint="eastAsia" w:ascii="方正仿宋_GBK" w:hAnsi="方正仿宋_GBK" w:eastAsia="方正仿宋_GBK" w:cs="方正仿宋_GBK"/>
          <w:b w:val="0"/>
          <w:bCs w:val="0"/>
          <w:highlight w:val="none"/>
        </w:rPr>
        <w:t>通过数据采集等方式，对本项目进行客观评价，最终评分结果：总得分为84.4分，属于“良”。其中，项目决策类指标权重为20分，得分为20分，得分率为100%。项目过程类指标权重为20分，得分为18分，得分率为90%。项目产出类指标权重为40分，得分为26.4分，得分率为</w:t>
      </w:r>
      <w:bookmarkStart w:id="3" w:name="_GoBack"/>
      <w:bookmarkEnd w:id="3"/>
      <w:r>
        <w:rPr>
          <w:rFonts w:hint="eastAsia" w:ascii="方正仿宋_GBK" w:hAnsi="方正仿宋_GBK" w:eastAsia="方正仿宋_GBK" w:cs="方正仿宋_GBK"/>
          <w:b w:val="0"/>
          <w:bCs w:val="0"/>
          <w:highlight w:val="none"/>
        </w:rPr>
        <w:t>66%。项目效益类指标权重为20分，得分为20分，得分率为100%。</w:t>
      </w:r>
      <w:r>
        <w:rPr>
          <w:rFonts w:hint="eastAsia" w:ascii="Times New Roman" w:hAnsi="Times New Roman" w:eastAsia="仿宋_GB2312"/>
          <w:b w:val="0"/>
          <w:bCs w:val="0"/>
        </w:rPr>
        <w:t>具体打分情况详见：附件</w:t>
      </w:r>
      <w:r>
        <w:rPr>
          <w:rFonts w:hint="eastAsia" w:ascii="方正仿宋_GBK" w:hAnsi="方正仿宋_GBK" w:eastAsia="方正仿宋_GBK" w:cs="方正仿宋_GBK"/>
          <w:b w:val="0"/>
          <w:bCs w:val="0"/>
        </w:rPr>
        <w:t>1综</w:t>
      </w:r>
      <w:r>
        <w:rPr>
          <w:rFonts w:hint="eastAsia" w:ascii="Times New Roman" w:hAnsi="Times New Roman" w:eastAsia="仿宋_GB2312"/>
          <w:b w:val="0"/>
          <w:bCs w:val="0"/>
        </w:rPr>
        <w:t>合评分表。</w:t>
      </w:r>
    </w:p>
    <w:p>
      <w:pPr>
        <w:pStyle w:val="2"/>
        <w:spacing w:before="0" w:after="0"/>
        <w:rPr>
          <w:rFonts w:hint="eastAsia" w:ascii="方正小标宋_GBK" w:hAnsi="方正小标宋_GBK" w:eastAsia="方正小标宋_GBK" w:cs="方正小标宋_GBK"/>
          <w:b w:val="0"/>
          <w:bCs w:val="0"/>
          <w:sz w:val="30"/>
          <w:szCs w:val="30"/>
        </w:rPr>
      </w:pPr>
      <w:r>
        <w:rPr>
          <w:rFonts w:hint="eastAsia" w:ascii="方正小标宋_GBK" w:hAnsi="方正小标宋_GBK" w:eastAsia="方正小标宋_GBK" w:cs="方正小标宋_GBK"/>
          <w:b w:val="0"/>
          <w:bCs w:val="0"/>
          <w:sz w:val="30"/>
          <w:szCs w:val="30"/>
        </w:rPr>
        <w:t>表1综合评分表</w:t>
      </w:r>
    </w:p>
    <w:tbl>
      <w:tblPr>
        <w:tblStyle w:val="13"/>
        <w:tblW w:w="8616" w:type="dxa"/>
        <w:jc w:val="center"/>
        <w:tblLayout w:type="fixed"/>
        <w:tblCellMar>
          <w:top w:w="0" w:type="dxa"/>
          <w:left w:w="108" w:type="dxa"/>
          <w:bottom w:w="0" w:type="dxa"/>
          <w:right w:w="108" w:type="dxa"/>
        </w:tblCellMar>
      </w:tblPr>
      <w:tblGrid>
        <w:gridCol w:w="3763"/>
        <w:gridCol w:w="2168"/>
        <w:gridCol w:w="2685"/>
      </w:tblGrid>
      <w:tr>
        <w:tblPrEx>
          <w:tblCellMar>
            <w:top w:w="0" w:type="dxa"/>
            <w:left w:w="108" w:type="dxa"/>
            <w:bottom w:w="0" w:type="dxa"/>
            <w:right w:w="108" w:type="dxa"/>
          </w:tblCellMar>
        </w:tblPrEx>
        <w:trPr>
          <w:trHeight w:val="90" w:hRule="atLeast"/>
          <w:tblHeader/>
          <w:jc w:val="center"/>
        </w:trPr>
        <w:tc>
          <w:tcPr>
            <w:tcW w:w="3763" w:type="dxa"/>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pPr>
              <w:jc w:val="center"/>
              <w:rPr>
                <w:b/>
                <w:bCs/>
                <w:color w:val="000000"/>
                <w:sz w:val="22"/>
              </w:rPr>
            </w:pPr>
            <w:r>
              <w:rPr>
                <w:rFonts w:hint="eastAsia"/>
                <w:b/>
                <w:bCs/>
                <w:color w:val="000000"/>
                <w:sz w:val="22"/>
              </w:rPr>
              <w:t>一级指标</w:t>
            </w:r>
          </w:p>
        </w:tc>
        <w:tc>
          <w:tcPr>
            <w:tcW w:w="2168"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pPr>
              <w:jc w:val="center"/>
              <w:rPr>
                <w:b/>
                <w:bCs/>
                <w:color w:val="000000"/>
                <w:sz w:val="22"/>
              </w:rPr>
            </w:pPr>
            <w:r>
              <w:rPr>
                <w:rFonts w:hint="eastAsia"/>
                <w:b/>
                <w:bCs/>
                <w:color w:val="000000"/>
                <w:sz w:val="22"/>
              </w:rPr>
              <w:t>权重分</w:t>
            </w:r>
          </w:p>
        </w:tc>
        <w:tc>
          <w:tcPr>
            <w:tcW w:w="2685"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pPr>
              <w:jc w:val="center"/>
              <w:rPr>
                <w:b/>
                <w:bCs/>
                <w:color w:val="000000"/>
                <w:sz w:val="22"/>
              </w:rPr>
            </w:pPr>
            <w:r>
              <w:rPr>
                <w:rFonts w:hint="eastAsia"/>
                <w:b/>
                <w:bCs/>
                <w:color w:val="000000"/>
                <w:sz w:val="22"/>
              </w:rPr>
              <w:t>得分</w:t>
            </w:r>
          </w:p>
        </w:tc>
      </w:tr>
      <w:tr>
        <w:tblPrEx>
          <w:tblCellMar>
            <w:top w:w="0" w:type="dxa"/>
            <w:left w:w="108" w:type="dxa"/>
            <w:bottom w:w="0" w:type="dxa"/>
            <w:right w:w="108" w:type="dxa"/>
          </w:tblCellMar>
        </w:tblPrEx>
        <w:trPr>
          <w:trHeight w:val="340" w:hRule="atLeast"/>
          <w:jc w:val="center"/>
        </w:trPr>
        <w:tc>
          <w:tcPr>
            <w:tcW w:w="3763"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项目决策</w:t>
            </w:r>
          </w:p>
        </w:tc>
        <w:tc>
          <w:tcPr>
            <w:tcW w:w="2168" w:type="dxa"/>
            <w:tcBorders>
              <w:top w:val="nil"/>
              <w:left w:val="nil"/>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20</w:t>
            </w:r>
          </w:p>
        </w:tc>
        <w:tc>
          <w:tcPr>
            <w:tcW w:w="2685" w:type="dxa"/>
            <w:tcBorders>
              <w:top w:val="nil"/>
              <w:left w:val="nil"/>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20</w:t>
            </w:r>
          </w:p>
        </w:tc>
      </w:tr>
      <w:tr>
        <w:tblPrEx>
          <w:tblCellMar>
            <w:top w:w="0" w:type="dxa"/>
            <w:left w:w="108" w:type="dxa"/>
            <w:bottom w:w="0" w:type="dxa"/>
            <w:right w:w="108" w:type="dxa"/>
          </w:tblCellMar>
        </w:tblPrEx>
        <w:trPr>
          <w:trHeight w:val="340" w:hRule="atLeast"/>
          <w:jc w:val="center"/>
        </w:trPr>
        <w:tc>
          <w:tcPr>
            <w:tcW w:w="3763"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项目过程</w:t>
            </w:r>
          </w:p>
        </w:tc>
        <w:tc>
          <w:tcPr>
            <w:tcW w:w="2168" w:type="dxa"/>
            <w:tcBorders>
              <w:top w:val="nil"/>
              <w:left w:val="nil"/>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20</w:t>
            </w:r>
          </w:p>
        </w:tc>
        <w:tc>
          <w:tcPr>
            <w:tcW w:w="2685" w:type="dxa"/>
            <w:tcBorders>
              <w:top w:val="nil"/>
              <w:left w:val="nil"/>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18</w:t>
            </w:r>
          </w:p>
        </w:tc>
      </w:tr>
      <w:tr>
        <w:tblPrEx>
          <w:tblCellMar>
            <w:top w:w="0" w:type="dxa"/>
            <w:left w:w="108" w:type="dxa"/>
            <w:bottom w:w="0" w:type="dxa"/>
            <w:right w:w="108" w:type="dxa"/>
          </w:tblCellMar>
        </w:tblPrEx>
        <w:trPr>
          <w:trHeight w:val="340" w:hRule="atLeast"/>
          <w:jc w:val="center"/>
        </w:trPr>
        <w:tc>
          <w:tcPr>
            <w:tcW w:w="3763"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项目产出</w:t>
            </w:r>
          </w:p>
        </w:tc>
        <w:tc>
          <w:tcPr>
            <w:tcW w:w="2168" w:type="dxa"/>
            <w:tcBorders>
              <w:top w:val="nil"/>
              <w:left w:val="nil"/>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40</w:t>
            </w:r>
          </w:p>
        </w:tc>
        <w:tc>
          <w:tcPr>
            <w:tcW w:w="2685" w:type="dxa"/>
            <w:tcBorders>
              <w:top w:val="nil"/>
              <w:left w:val="nil"/>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26.4</w:t>
            </w:r>
          </w:p>
        </w:tc>
      </w:tr>
      <w:tr>
        <w:tblPrEx>
          <w:tblCellMar>
            <w:top w:w="0" w:type="dxa"/>
            <w:left w:w="108" w:type="dxa"/>
            <w:bottom w:w="0" w:type="dxa"/>
            <w:right w:w="108" w:type="dxa"/>
          </w:tblCellMar>
        </w:tblPrEx>
        <w:trPr>
          <w:trHeight w:val="340" w:hRule="atLeast"/>
          <w:jc w:val="center"/>
        </w:trPr>
        <w:tc>
          <w:tcPr>
            <w:tcW w:w="3763"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项目效益</w:t>
            </w:r>
          </w:p>
        </w:tc>
        <w:tc>
          <w:tcPr>
            <w:tcW w:w="2168" w:type="dxa"/>
            <w:tcBorders>
              <w:top w:val="nil"/>
              <w:left w:val="nil"/>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20</w:t>
            </w:r>
          </w:p>
        </w:tc>
        <w:tc>
          <w:tcPr>
            <w:tcW w:w="2685" w:type="dxa"/>
            <w:tcBorders>
              <w:top w:val="nil"/>
              <w:left w:val="nil"/>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20</w:t>
            </w:r>
          </w:p>
        </w:tc>
      </w:tr>
      <w:tr>
        <w:tblPrEx>
          <w:tblCellMar>
            <w:top w:w="0" w:type="dxa"/>
            <w:left w:w="108" w:type="dxa"/>
            <w:bottom w:w="0" w:type="dxa"/>
            <w:right w:w="108" w:type="dxa"/>
          </w:tblCellMar>
        </w:tblPrEx>
        <w:trPr>
          <w:trHeight w:val="340" w:hRule="atLeast"/>
          <w:jc w:val="center"/>
        </w:trPr>
        <w:tc>
          <w:tcPr>
            <w:tcW w:w="3763" w:type="dxa"/>
            <w:tcBorders>
              <w:top w:val="nil"/>
              <w:left w:val="single" w:color="auto" w:sz="4" w:space="0"/>
              <w:bottom w:val="single" w:color="auto" w:sz="4" w:space="0"/>
              <w:right w:val="single" w:color="auto" w:sz="4" w:space="0"/>
            </w:tcBorders>
            <w:shd w:val="clear" w:color="auto" w:fill="auto"/>
            <w:vAlign w:val="center"/>
          </w:tcPr>
          <w:p>
            <w:pPr>
              <w:jc w:val="center"/>
              <w:rPr>
                <w:rFonts w:cs="宋体"/>
                <w:b/>
                <w:bCs/>
                <w:color w:val="000000"/>
                <w:sz w:val="22"/>
              </w:rPr>
            </w:pPr>
            <w:r>
              <w:rPr>
                <w:rFonts w:hint="eastAsia" w:cs="宋体"/>
                <w:b/>
                <w:bCs/>
                <w:color w:val="000000"/>
                <w:sz w:val="22"/>
              </w:rPr>
              <w:t>合计</w:t>
            </w:r>
          </w:p>
        </w:tc>
        <w:tc>
          <w:tcPr>
            <w:tcW w:w="2168" w:type="dxa"/>
            <w:tcBorders>
              <w:top w:val="nil"/>
              <w:left w:val="nil"/>
              <w:bottom w:val="single" w:color="auto" w:sz="4" w:space="0"/>
              <w:right w:val="single" w:color="auto" w:sz="4" w:space="0"/>
            </w:tcBorders>
            <w:shd w:val="clear" w:color="auto" w:fill="auto"/>
            <w:vAlign w:val="center"/>
          </w:tcPr>
          <w:p>
            <w:pPr>
              <w:jc w:val="center"/>
              <w:rPr>
                <w:b/>
                <w:bCs/>
                <w:color w:val="000000"/>
                <w:sz w:val="22"/>
              </w:rPr>
            </w:pPr>
            <w:r>
              <w:rPr>
                <w:rFonts w:hint="eastAsia"/>
                <w:b/>
                <w:bCs/>
                <w:color w:val="000000"/>
                <w:sz w:val="22"/>
              </w:rPr>
              <w:t>100</w:t>
            </w:r>
          </w:p>
        </w:tc>
        <w:tc>
          <w:tcPr>
            <w:tcW w:w="2685" w:type="dxa"/>
            <w:tcBorders>
              <w:top w:val="nil"/>
              <w:left w:val="nil"/>
              <w:bottom w:val="single" w:color="auto" w:sz="4" w:space="0"/>
              <w:right w:val="single" w:color="auto" w:sz="4" w:space="0"/>
            </w:tcBorders>
            <w:shd w:val="clear" w:color="auto" w:fill="auto"/>
            <w:vAlign w:val="center"/>
          </w:tcPr>
          <w:p>
            <w:pPr>
              <w:jc w:val="center"/>
              <w:rPr>
                <w:b/>
                <w:bCs/>
                <w:color w:val="000000"/>
                <w:sz w:val="22"/>
              </w:rPr>
            </w:pPr>
            <w:r>
              <w:rPr>
                <w:rFonts w:hint="eastAsia"/>
                <w:b/>
                <w:bCs/>
                <w:color w:val="000000"/>
                <w:sz w:val="22"/>
              </w:rPr>
              <w:t>84.4</w:t>
            </w:r>
          </w:p>
        </w:tc>
      </w:tr>
    </w:tbl>
    <w:p>
      <w:pPr>
        <w:pageBreakBefore w:val="0"/>
        <w:kinsoku/>
        <w:wordWrap/>
        <w:overflowPunct/>
        <w:topLinePunct w:val="0"/>
        <w:autoSpaceDE/>
        <w:autoSpaceDN/>
        <w:bidi w:val="0"/>
        <w:adjustRightInd/>
        <w:snapToGrid/>
        <w:spacing w:line="560" w:lineRule="exact"/>
        <w:ind w:firstLine="640" w:firstLineChars="200"/>
        <w:textAlignment w:val="auto"/>
        <w:rPr>
          <w:rFonts w:eastAsia="黑体"/>
          <w:sz w:val="32"/>
          <w:szCs w:val="32"/>
        </w:rPr>
      </w:pPr>
      <w:r>
        <w:rPr>
          <w:rFonts w:eastAsia="黑体"/>
          <w:sz w:val="32"/>
          <w:szCs w:val="32"/>
        </w:rPr>
        <w:t>四、绩效评价指标分析</w:t>
      </w:r>
    </w:p>
    <w:p>
      <w:pPr>
        <w:pStyle w:val="2"/>
        <w:pageBreakBefore w:val="0"/>
        <w:kinsoku/>
        <w:wordWrap/>
        <w:overflowPunct/>
        <w:topLinePunct w:val="0"/>
        <w:autoSpaceDE/>
        <w:autoSpaceDN/>
        <w:bidi w:val="0"/>
        <w:adjustRightInd/>
        <w:snapToGrid/>
        <w:spacing w:before="0" w:after="0" w:line="560" w:lineRule="exact"/>
        <w:ind w:firstLine="642" w:firstLineChars="200"/>
        <w:jc w:val="both"/>
        <w:textAlignment w:val="auto"/>
        <w:rPr>
          <w:rFonts w:ascii="Times New Roman" w:hAnsi="Times New Roman" w:eastAsia="楷体_GB2312"/>
        </w:rPr>
      </w:pPr>
      <w:r>
        <w:rPr>
          <w:rFonts w:ascii="Times New Roman" w:hAnsi="Times New Roman" w:eastAsia="楷体_GB2312"/>
        </w:rPr>
        <w:t>（一）项目决策情况</w:t>
      </w:r>
    </w:p>
    <w:p>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项目决策类包括项目立项、绩效目标和资金投入三方面的内容，权重分值为20分，实际得分20分，得分率为100%。</w:t>
      </w:r>
    </w:p>
    <w:p>
      <w:pPr>
        <w:pStyle w:val="18"/>
        <w:pageBreakBefore w:val="0"/>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1.项目立项</w:t>
      </w:r>
    </w:p>
    <w:p>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（1）立项依据充分性</w:t>
      </w:r>
    </w:p>
    <w:p>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（2）立项程序规范性</w:t>
      </w:r>
    </w:p>
    <w:p>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项目申请、设立过程符合相关要求，严格按照审批流程准备符合要求的文件、材料；根据决算依据编制工作计划和经费预算，经过与部门项目分管领导沟通、筛选确定经费预算计划，确定最终预算方案。项目的审批文件、材料符合相关要求，项目事前经过必要的可行性研究、风险评估、绩效评估、集体决策，保障了程序的规范性。</w:t>
      </w:r>
    </w:p>
    <w:p>
      <w:pPr>
        <w:pStyle w:val="18"/>
        <w:pageBreakBefore w:val="0"/>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2.绩效目标</w:t>
      </w:r>
    </w:p>
    <w:p>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（1）绩效目标合理性</w:t>
      </w:r>
    </w:p>
    <w:p>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年初结合实际工作内容设定绩效目标，绩效目标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（2）绩效指标明确性</w:t>
      </w:r>
    </w:p>
    <w:p>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项目设置了明确的预期产出效益和效果，将绩效目标细化分解为具体的绩效指标，绩效目标与项目目标任务数相对应，绩效目标设定的绩效指标清晰、细化、可衡量。</w:t>
      </w:r>
    </w:p>
    <w:p>
      <w:pPr>
        <w:pStyle w:val="18"/>
        <w:pageBreakBefore w:val="0"/>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3.资金投入</w:t>
      </w:r>
    </w:p>
    <w:p>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（1）预算编制科学性</w:t>
      </w:r>
    </w:p>
    <w:p>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预算编制经过科学论证，提供充分的测算依据佐证资料，预算内容与项目内容相匹配。项目投资额与工作任务相匹配。</w:t>
      </w:r>
    </w:p>
    <w:p>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（2）资金分配合理性</w:t>
      </w:r>
    </w:p>
    <w:p>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资金分配额度与项目单位实际工作内容相适应，资金分配额度合理，资金分配依据充分。</w:t>
      </w:r>
    </w:p>
    <w:p>
      <w:pPr>
        <w:pStyle w:val="2"/>
        <w:pageBreakBefore w:val="0"/>
        <w:numPr>
          <w:ilvl w:val="0"/>
          <w:numId w:val="3"/>
        </w:numPr>
        <w:kinsoku/>
        <w:wordWrap/>
        <w:overflowPunct/>
        <w:topLinePunct w:val="0"/>
        <w:autoSpaceDE/>
        <w:autoSpaceDN/>
        <w:bidi w:val="0"/>
        <w:adjustRightInd/>
        <w:snapToGrid/>
        <w:spacing w:before="0" w:after="0" w:line="560" w:lineRule="exact"/>
        <w:ind w:firstLine="642" w:firstLineChars="200"/>
        <w:jc w:val="both"/>
        <w:textAlignment w:val="auto"/>
        <w:rPr>
          <w:rFonts w:ascii="楷体" w:hAnsi="楷体" w:eastAsia="楷体" w:cs="楷体"/>
        </w:rPr>
      </w:pPr>
      <w:r>
        <w:rPr>
          <w:rFonts w:hint="eastAsia" w:ascii="楷体" w:hAnsi="楷体" w:eastAsia="楷体" w:cs="楷体"/>
        </w:rPr>
        <w:t>项目过程情况</w:t>
      </w:r>
    </w:p>
    <w:p>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项目过程类指标包括资金管理和组织实施两方面的内容，权重分值为20分，</w:t>
      </w:r>
      <w:r>
        <w:rPr>
          <w:rFonts w:hint="eastAsia" w:ascii="仿宋_GB2312" w:hAnsi="仿宋_GB2312" w:eastAsia="仿宋_GB2312" w:cs="仿宋_GB2312"/>
          <w:sz w:val="32"/>
          <w:szCs w:val="32"/>
          <w:highlight w:val="none"/>
        </w:rPr>
        <w:t>实际得分18分，得分率为90%。</w:t>
      </w:r>
    </w:p>
    <w:p>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项目资金使用符合相关的财务管理制度规定，能够反映和考核项目资金的规范运行情况；项目实施单位的财务和业务管理制度健全，能够反映和考核财务和业务管理制度对项目顺利实施的保障情况。</w:t>
      </w:r>
    </w:p>
    <w:p>
      <w:pPr>
        <w:pStyle w:val="18"/>
        <w:pageBreakBefore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1.资金管理</w:t>
      </w:r>
    </w:p>
    <w:p>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（1）资金到位率</w:t>
      </w:r>
    </w:p>
    <w:p>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本项</w:t>
      </w:r>
      <w:r>
        <w:rPr>
          <w:rFonts w:hint="eastAsia" w:ascii="仿宋_GB2312" w:hAnsi="仿宋_GB2312" w:eastAsia="仿宋_GB2312" w:cs="仿宋_GB2312"/>
          <w:sz w:val="32"/>
          <w:szCs w:val="32"/>
          <w:highlight w:val="none"/>
        </w:rPr>
        <w:t>目总投资170万元，财政资金及时足额到位，到位率100%，预算</w:t>
      </w:r>
      <w:r>
        <w:rPr>
          <w:rFonts w:hint="eastAsia" w:ascii="仿宋_GB2312" w:hAnsi="仿宋_GB2312" w:eastAsia="仿宋_GB2312" w:cs="仿宋_GB2312"/>
          <w:sz w:val="32"/>
          <w:szCs w:val="32"/>
        </w:rPr>
        <w:t>资金按计划进度执行。</w:t>
      </w:r>
    </w:p>
    <w:p>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（2）预算执行率</w:t>
      </w:r>
    </w:p>
    <w:p>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预算编制较为详细，项目资金支出总体能够按照预算执行，预算资金支出170万元，预算执行率为63.95%。</w:t>
      </w:r>
    </w:p>
    <w:p>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（3）资金使用合规性</w:t>
      </w:r>
    </w:p>
    <w:p>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项目严格按照预期绩效目标执行预算资金。制定了相关的制度和管理规定，对项目经费使用进行规范管理，财务制度健全、执行严格。资金的拨付有完整的审批程序和手续，在项目资金拨付和使用过程中，为确保项目资金的安全性，提高项目资金使用效率，严格遵循项目资金的拨付程序，认真审核项目实施各阶段的相关材料和手续，根据项目实施进展情况拨付资金。资金使用符合该项目的立项批复。资金不存在截留、挤占、挪用、虚列支出等情况。</w:t>
      </w:r>
    </w:p>
    <w:p>
      <w:pPr>
        <w:pStyle w:val="18"/>
        <w:pageBreakBefore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2.组织实施</w:t>
      </w:r>
    </w:p>
    <w:p>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（1）管理制度健全性</w:t>
      </w:r>
    </w:p>
    <w:p>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制定了相关管理办法，对财政资金进行严格管理，做到专款专用，项目资金使用符合相关的财务管理制度规定，能够反映和考核项目资金的规范运行情况；项目实施单位的财务和业务管理制度健全，能够反映和考核财务和业务管理制度对项目顺利实施的保障情况。</w:t>
      </w:r>
    </w:p>
    <w:p>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（2）制度执行有效性</w:t>
      </w:r>
    </w:p>
    <w:p>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对资金使用的合法合规性进行监督，年末对资金使用效果进行评价。项目管理、实施人员落实到位，有效按照计划执行。项目执行情况等资料齐全，项目相关手续完备，及时进行归档。</w:t>
      </w:r>
    </w:p>
    <w:p>
      <w:pPr>
        <w:pStyle w:val="11"/>
        <w:pageBreakBefore w:val="0"/>
        <w:numPr>
          <w:ilvl w:val="0"/>
          <w:numId w:val="3"/>
        </w:numPr>
        <w:kinsoku/>
        <w:wordWrap/>
        <w:overflowPunct/>
        <w:topLinePunct w:val="0"/>
        <w:autoSpaceDE/>
        <w:autoSpaceDN/>
        <w:bidi w:val="0"/>
        <w:adjustRightInd/>
        <w:snapToGrid/>
        <w:spacing w:line="560" w:lineRule="exact"/>
        <w:ind w:firstLine="641"/>
        <w:textAlignment w:val="auto"/>
        <w:rPr>
          <w:rFonts w:eastAsia="楷体_GB2312"/>
          <w:b/>
          <w:bCs/>
          <w:sz w:val="32"/>
          <w:szCs w:val="32"/>
        </w:rPr>
      </w:pPr>
      <w:r>
        <w:rPr>
          <w:rFonts w:eastAsia="楷体_GB2312"/>
          <w:b/>
          <w:bCs/>
          <w:sz w:val="32"/>
          <w:szCs w:val="32"/>
        </w:rPr>
        <w:t>项目产出</w:t>
      </w:r>
      <w:r>
        <w:rPr>
          <w:rFonts w:hint="eastAsia" w:eastAsia="楷体_GB2312"/>
          <w:b/>
          <w:bCs/>
          <w:sz w:val="32"/>
          <w:szCs w:val="32"/>
        </w:rPr>
        <w:t>情况</w:t>
      </w:r>
    </w:p>
    <w:p>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项目产出类指标包括产出数量、产出质量、产出时效、产</w:t>
      </w:r>
      <w:r>
        <w:rPr>
          <w:rFonts w:hint="eastAsia" w:ascii="仿宋_GB2312" w:hAnsi="仿宋_GB2312" w:eastAsia="仿宋_GB2312" w:cs="仿宋_GB2312"/>
          <w:sz w:val="32"/>
          <w:szCs w:val="32"/>
          <w:highlight w:val="none"/>
        </w:rPr>
        <w:t>出成本四方面的内容，由12个三级指标构成，权重分为40分，实际得分26.4分，得分率为66%。</w:t>
      </w:r>
      <w:r>
        <w:rPr>
          <w:rFonts w:hint="eastAsia" w:ascii="仿宋_GB2312" w:hAnsi="仿宋_GB2312" w:eastAsia="仿宋_GB2312" w:cs="仿宋_GB2312"/>
          <w:sz w:val="32"/>
          <w:szCs w:val="32"/>
        </w:rPr>
        <w:t>具体产出指标完成情况如下：</w:t>
      </w:r>
    </w:p>
    <w:p>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1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①</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数量指标：</w:t>
      </w:r>
    </w:p>
    <w:p>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指标1：培训人数（人），指标值：≥350人，实际完成值：0人 ，指标完成率0%，偏差原因：因疫情原因及业务处室意见，原计划举办的“自治区全域旅游培训班、自治区文旅系统办公室主任培训班、自治区文旅系统安全生产培训班（北疆片区）”3期培训班未能举办，已向厅人事处报备，并获得同意，因此该指标未完成。</w:t>
      </w:r>
    </w:p>
    <w:p>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指标2：培训天数（天），指标值：≥15天，实际完成值：0天，指标完成率0%，偏差原因：因疫情原因及业务处室意见，原计划举办的“自治区全域旅游培训班、自治区文旅系统办公室主任培训班、自治区文旅系统安全生产培训班（北疆片区）”3期培训班未能举办，已向厅人事处报备，并获得同意，因此该指标未完成。</w:t>
      </w:r>
    </w:p>
    <w:p>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指标3：培训班次（班次），指标值：≥3个，实际完成值：0个，指标完成率0%，偏差原因：因疫情原因及业务处室意见，原计划举办的“自治区全域旅游培训班、自治区文旅系统办公室主任培训班、自治区文旅系统安全生产培训班（北疆片区）”3期培训班未能举办，已向厅人事处报备，并获得同意，因此该指标未完成。</w:t>
      </w:r>
    </w:p>
    <w:p>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指标4：发放工资人数 ，指标值：≥7人，实际完成值：8人，指标完成率100%。 </w:t>
      </w:r>
    </w:p>
    <w:p>
      <w:pPr>
        <w:pageBreakBefore w:val="0"/>
        <w:kinsoku/>
        <w:wordWrap/>
        <w:overflowPunct/>
        <w:topLinePunct w:val="0"/>
        <w:autoSpaceDE/>
        <w:autoSpaceDN/>
        <w:bidi w:val="0"/>
        <w:adjustRightInd/>
        <w:snapToGrid/>
        <w:spacing w:line="560" w:lineRule="exact"/>
        <w:ind w:firstLine="640" w:firstLineChars="200"/>
        <w:textAlignment w:val="auto"/>
        <w:outlineLvl w:val="0"/>
      </w:pPr>
      <w:r>
        <w:rPr>
          <w:rFonts w:hint="eastAsia" w:ascii="仿宋_GB2312" w:hAnsi="仿宋_GB2312" w:eastAsia="仿宋_GB2312" w:cs="仿宋_GB2312"/>
          <w:sz w:val="32"/>
          <w:szCs w:val="32"/>
        </w:rPr>
        <w:t>指标5：工资发放次数 ，指标值：≥12次，实际完成值：12次，指标完成率100%。</w:t>
      </w:r>
    </w:p>
    <w:p>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2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②</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质量指标：</w:t>
      </w:r>
    </w:p>
    <w:p>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指标1：培训合格率（%），指标值：≥95%，实际完成值：≥95%，指标完成率100%。</w:t>
      </w:r>
    </w:p>
    <w:p>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指标2：培训出勤率（%），指标值：≥95%，实际完成值：≥95%，指标完成率100%。</w:t>
      </w:r>
    </w:p>
    <w:p>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3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③</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时效指标：</w:t>
      </w:r>
    </w:p>
    <w:p>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指标1：培训按期完成率，指标值：≥90% ，实际完成值：0，指标完成率0%，偏差原因：因疫情原因及业务处室意见，原计划举办的“自治区全域旅游培训班、自治区文旅系统办公室主任培训班、自治区文旅系统安全生产培训班（北疆片区）”3期培训班未能举办，已向厅人事处报备，并获得同意，因此该指标未完成。</w:t>
      </w:r>
    </w:p>
    <w:p>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指标2：资金发放及时率，指标值：≥95% ，实际完成值：66.67%，指标完成率70.18%，偏差原因：因疫情影响，全员在家静默，无法及时划款，因此8-11月工资均延迟发放。</w:t>
      </w:r>
    </w:p>
    <w:p>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4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④</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成本指标：</w:t>
      </w:r>
    </w:p>
    <w:p>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指标1：培训人均支出标准，指标值：≤200元/人.天，实际完成值：200元/人.天，指标完成率100%。</w:t>
      </w:r>
    </w:p>
    <w:p>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指标2：每次发放工资资金数，指标值：≤5万 ，实际完成值：4.92万 ，指标完成率98.4%。</w:t>
      </w:r>
    </w:p>
    <w:p>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指标3：劳务支出，指标值：≤30万，实际完成值：54.1万，指标完成率0%，偏差原因：指标值设置不准确，未考虑人员增加的问题。</w:t>
      </w:r>
    </w:p>
    <w:p>
      <w:pPr>
        <w:pStyle w:val="11"/>
        <w:pageBreakBefore w:val="0"/>
        <w:numPr>
          <w:ilvl w:val="0"/>
          <w:numId w:val="3"/>
        </w:numPr>
        <w:kinsoku/>
        <w:wordWrap/>
        <w:overflowPunct/>
        <w:topLinePunct w:val="0"/>
        <w:autoSpaceDE/>
        <w:autoSpaceDN/>
        <w:bidi w:val="0"/>
        <w:adjustRightInd/>
        <w:snapToGrid/>
        <w:spacing w:line="560" w:lineRule="exact"/>
        <w:ind w:firstLine="641"/>
        <w:textAlignment w:val="auto"/>
        <w:rPr>
          <w:rFonts w:eastAsia="楷体_GB2312"/>
          <w:b/>
          <w:bCs/>
          <w:sz w:val="32"/>
          <w:szCs w:val="32"/>
        </w:rPr>
      </w:pPr>
      <w:r>
        <w:rPr>
          <w:rFonts w:hint="eastAsia" w:eastAsia="楷体_GB2312"/>
          <w:b/>
          <w:bCs/>
          <w:sz w:val="32"/>
          <w:szCs w:val="32"/>
        </w:rPr>
        <w:t>项目效益情况</w:t>
      </w:r>
    </w:p>
    <w:p>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项目效益类指标包括项目实施效益和满意度两方面的内容，由2个三级指标构成，权重分为20分，</w:t>
      </w:r>
      <w:r>
        <w:rPr>
          <w:rFonts w:hint="eastAsia" w:ascii="仿宋_GB2312" w:hAnsi="仿宋_GB2312" w:eastAsia="仿宋_GB2312" w:cs="仿宋_GB2312"/>
          <w:sz w:val="32"/>
          <w:szCs w:val="32"/>
          <w:highlight w:val="none"/>
        </w:rPr>
        <w:t>实际得分20分，得分率为100%。具体效益指标及满意度指标完</w:t>
      </w:r>
      <w:r>
        <w:rPr>
          <w:rFonts w:hint="eastAsia" w:ascii="仿宋_GB2312" w:hAnsi="仿宋_GB2312" w:eastAsia="仿宋_GB2312" w:cs="仿宋_GB2312"/>
          <w:sz w:val="32"/>
          <w:szCs w:val="32"/>
        </w:rPr>
        <w:t>成情况如下：</w:t>
      </w:r>
    </w:p>
    <w:p>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1.实施效益</w:t>
      </w:r>
    </w:p>
    <w:p>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①社会效益指标：城市形象提升，指标值：有效提升，实际完成值：有效提升，指标完成率100%。</w:t>
      </w:r>
    </w:p>
    <w:p>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2.满意度</w:t>
      </w:r>
    </w:p>
    <w:p>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满意度指标：受益人员满意度，指标值：≥95%，实际完成值：≥95% ，指标完成率100%。</w:t>
      </w:r>
    </w:p>
    <w:p>
      <w:pPr>
        <w:pageBreakBefore w:val="0"/>
        <w:kinsoku/>
        <w:wordWrap/>
        <w:overflowPunct/>
        <w:topLinePunct w:val="0"/>
        <w:autoSpaceDE/>
        <w:autoSpaceDN/>
        <w:bidi w:val="0"/>
        <w:adjustRightInd/>
        <w:snapToGrid/>
        <w:spacing w:line="560" w:lineRule="exact"/>
        <w:ind w:firstLine="640" w:firstLineChars="200"/>
        <w:textAlignment w:val="auto"/>
        <w:rPr>
          <w:rFonts w:eastAsia="黑体"/>
          <w:sz w:val="32"/>
          <w:szCs w:val="32"/>
        </w:rPr>
      </w:pPr>
      <w:r>
        <w:rPr>
          <w:rFonts w:hint="eastAsia" w:eastAsia="黑体"/>
          <w:sz w:val="32"/>
          <w:szCs w:val="32"/>
        </w:rPr>
        <w:t>五、预算执行进度与绩效指标总体完成率偏差</w:t>
      </w:r>
    </w:p>
    <w:p>
      <w:pPr>
        <w:pStyle w:val="18"/>
        <w:pageBreakBefore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旅游业务成本支出项目年初预算170万元，全年预算170万元，实际支出108.72万元，预算执行率为63.95%，项目绩效指标总体完成率为59.12%，总体偏差率为4.83%,偏差原因</w:t>
      </w:r>
      <w:r>
        <w:rPr>
          <w:rFonts w:hint="eastAsia" w:ascii="仿宋_GB2312" w:eastAsia="仿宋_GB2312"/>
          <w:sz w:val="32"/>
          <w:szCs w:val="32"/>
        </w:rPr>
        <w:t>因疫情原因，原定的培训班次做了调整变更，在征求业务处室意见后，原计划在2022年下半年举办的“自治区全域旅游培训班、自治区文旅系统办公室主任培训班、自治区文旅系统安全生产培训班（北疆片区）”3期培训班已不具备举办的条件，并向厅人事处报备且同意将以上培训班做调整，因此该项指标未达到期初预期目标。原计划的项目资金用于支付上年度培训项目尾款。</w:t>
      </w:r>
      <w:r>
        <w:rPr>
          <w:rFonts w:hint="eastAsia" w:ascii="仿宋_GB2312" w:hAnsi="仿宋_GB2312" w:eastAsia="仿宋_GB2312" w:cs="仿宋_GB2312"/>
          <w:kern w:val="2"/>
          <w:sz w:val="32"/>
          <w:szCs w:val="32"/>
        </w:rPr>
        <w:t>改进措施</w:t>
      </w:r>
      <w:r>
        <w:rPr>
          <w:rFonts w:hint="eastAsia" w:ascii="仿宋_GB2312" w:eastAsia="仿宋_GB2312"/>
          <w:sz w:val="32"/>
          <w:szCs w:val="32"/>
        </w:rPr>
        <w:t>以后年度编制预算时，科学、精准、全面编制预算，更加科学严谨的设定绩效目标考核指标，且在执行过程中要抓紧落实，抓好提前量，在预定时间完成目标。</w:t>
      </w:r>
    </w:p>
    <w:p>
      <w:pPr>
        <w:pageBreakBefore w:val="0"/>
        <w:kinsoku/>
        <w:wordWrap/>
        <w:overflowPunct/>
        <w:topLinePunct w:val="0"/>
        <w:autoSpaceDE/>
        <w:autoSpaceDN/>
        <w:bidi w:val="0"/>
        <w:adjustRightInd/>
        <w:snapToGrid/>
        <w:spacing w:line="560" w:lineRule="exact"/>
        <w:ind w:firstLine="640" w:firstLineChars="200"/>
        <w:textAlignment w:val="auto"/>
        <w:rPr>
          <w:rStyle w:val="17"/>
          <w:rFonts w:ascii="Times New Roman" w:hAnsi="Times New Roman" w:cs="Times New Roman"/>
          <w:color w:val="auto"/>
        </w:rPr>
      </w:pPr>
      <w:r>
        <w:rPr>
          <w:rFonts w:hint="eastAsia" w:eastAsia="黑体"/>
          <w:sz w:val="32"/>
          <w:szCs w:val="32"/>
        </w:rPr>
        <w:t>六</w:t>
      </w:r>
      <w:r>
        <w:rPr>
          <w:rFonts w:eastAsia="黑体"/>
          <w:sz w:val="32"/>
          <w:szCs w:val="32"/>
        </w:rPr>
        <w:t>、主要经验及做法、存在的问题及原因分析</w:t>
      </w:r>
    </w:p>
    <w:p>
      <w:pPr>
        <w:pageBreakBefore w:val="0"/>
        <w:kinsoku/>
        <w:wordWrap/>
        <w:overflowPunct/>
        <w:topLinePunct w:val="0"/>
        <w:autoSpaceDE/>
        <w:autoSpaceDN/>
        <w:bidi w:val="0"/>
        <w:adjustRightInd/>
        <w:snapToGrid/>
        <w:spacing w:line="560" w:lineRule="exact"/>
        <w:ind w:firstLine="626" w:firstLineChars="200"/>
        <w:textAlignment w:val="auto"/>
        <w:rPr>
          <w:rFonts w:eastAsia="楷体"/>
          <w:b/>
          <w:spacing w:val="-4"/>
          <w:sz w:val="32"/>
          <w:szCs w:val="32"/>
        </w:rPr>
      </w:pPr>
      <w:r>
        <w:rPr>
          <w:rFonts w:eastAsia="楷体"/>
          <w:b/>
          <w:spacing w:val="-4"/>
          <w:sz w:val="32"/>
          <w:szCs w:val="32"/>
        </w:rPr>
        <w:t>（一）主要经验及做法</w:t>
      </w:r>
    </w:p>
    <w:p>
      <w:pPr>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pPr>
        <w:pStyle w:val="2"/>
        <w:pageBreakBefore w:val="0"/>
        <w:kinsoku/>
        <w:wordWrap/>
        <w:overflowPunct/>
        <w:topLinePunct w:val="0"/>
        <w:autoSpaceDE/>
        <w:autoSpaceDN/>
        <w:bidi w:val="0"/>
        <w:adjustRightInd/>
        <w:snapToGrid/>
        <w:spacing w:before="0" w:after="0" w:line="560" w:lineRule="exact"/>
        <w:ind w:firstLine="640" w:firstLineChars="200"/>
        <w:jc w:val="left"/>
        <w:textAlignment w:val="auto"/>
        <w:rPr>
          <w:rFonts w:ascii="Times New Roman" w:hAnsi="Times New Roman" w:eastAsia="仿宋_GB2312"/>
          <w:b w:val="0"/>
          <w:bCs w:val="0"/>
          <w:kern w:val="2"/>
        </w:rPr>
      </w:pPr>
      <w:r>
        <w:rPr>
          <w:rFonts w:ascii="Times New Roman" w:hAnsi="Times New Roman" w:eastAsia="仿宋_GB2312"/>
          <w:b w:val="0"/>
          <w:bCs w:val="0"/>
          <w:kern w:val="2"/>
        </w:rPr>
        <w:t>严格坚持先做事、后验收、再拨付的原则，基本杜绝了资金被挤占和挪用现象的发生，跟踪检查到位。专项资金事前、事中和事后全过程监管。在监督环节上，实行关口前移，从事后监督管理转向事前审核，事中监督和事后检查稽核相结合的监督制度上来，形成多环节全过程的监督管理格局，尽量早发现问题，早解决问题。</w:t>
      </w:r>
    </w:p>
    <w:p>
      <w:pPr>
        <w:keepNext/>
        <w:keepLines/>
        <w:pageBreakBefore w:val="0"/>
        <w:numPr>
          <w:ilvl w:val="0"/>
          <w:numId w:val="4"/>
        </w:numPr>
        <w:kinsoku/>
        <w:wordWrap/>
        <w:overflowPunct/>
        <w:topLinePunct w:val="0"/>
        <w:autoSpaceDE/>
        <w:autoSpaceDN/>
        <w:bidi w:val="0"/>
        <w:adjustRightInd/>
        <w:snapToGrid/>
        <w:spacing w:line="560" w:lineRule="exact"/>
        <w:ind w:firstLine="642" w:firstLineChars="200"/>
        <w:textAlignment w:val="auto"/>
        <w:outlineLvl w:val="0"/>
        <w:rPr>
          <w:rFonts w:ascii="仿宋_GB2312" w:hAnsi="仿宋_GB2312" w:eastAsia="仿宋_GB2312" w:cs="仿宋_GB2312"/>
          <w:sz w:val="32"/>
          <w:szCs w:val="32"/>
        </w:rPr>
      </w:pPr>
      <w:r>
        <w:rPr>
          <w:rFonts w:eastAsia="楷体_GB2312"/>
          <w:b/>
          <w:bCs/>
          <w:sz w:val="32"/>
          <w:szCs w:val="32"/>
        </w:rPr>
        <w:t>存在的问题及原因分析</w:t>
      </w:r>
    </w:p>
    <w:p>
      <w:pPr>
        <w:keepNext/>
        <w:keepLines/>
        <w:pageBreakBefore w:val="0"/>
        <w:numPr>
          <w:ilvl w:val="0"/>
          <w:numId w:val="4"/>
        </w:numPr>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pPr>
        <w:pageBreakBefore w:val="0"/>
        <w:kinsoku/>
        <w:wordWrap/>
        <w:overflowPunct/>
        <w:topLinePunct w:val="0"/>
        <w:autoSpaceDE/>
        <w:autoSpaceDN/>
        <w:bidi w:val="0"/>
        <w:adjustRightInd/>
        <w:snapToGrid/>
        <w:spacing w:line="560" w:lineRule="exact"/>
        <w:ind w:firstLine="640" w:firstLineChars="200"/>
        <w:textAlignment w:val="auto"/>
        <w:rPr>
          <w:rFonts w:eastAsia="黑体"/>
          <w:sz w:val="32"/>
          <w:szCs w:val="32"/>
        </w:rPr>
      </w:pPr>
      <w:r>
        <w:rPr>
          <w:rFonts w:hint="eastAsia" w:eastAsia="黑体"/>
          <w:sz w:val="32"/>
          <w:szCs w:val="32"/>
        </w:rPr>
        <w:t>七、</w:t>
      </w:r>
      <w:r>
        <w:rPr>
          <w:rFonts w:eastAsia="黑体"/>
          <w:sz w:val="32"/>
          <w:szCs w:val="32"/>
        </w:rPr>
        <w:t>有关建议</w:t>
      </w:r>
    </w:p>
    <w:p>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1.多进行有关绩效管理工作方面的培训。积极组织第三方开展绩效管理工作培训，进一步夯实业务基础，提高我单位绩效人员水平。</w:t>
      </w:r>
    </w:p>
    <w:p>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2.专门设定对绩效工作人员定职、定岗、定责等相关制度措施，进一步提升我单位绩效管理工作业务水平，扎实做好绩效管理工作。</w:t>
      </w:r>
    </w:p>
    <w:p>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3.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p>
    <w:p>
      <w:pPr>
        <w:pageBreakBefore w:val="0"/>
        <w:kinsoku/>
        <w:wordWrap/>
        <w:overflowPunct/>
        <w:topLinePunct w:val="0"/>
        <w:autoSpaceDE/>
        <w:autoSpaceDN/>
        <w:bidi w:val="0"/>
        <w:adjustRightInd/>
        <w:snapToGrid/>
        <w:spacing w:line="560" w:lineRule="exact"/>
        <w:ind w:firstLine="640" w:firstLineChars="200"/>
        <w:textAlignment w:val="auto"/>
        <w:outlineLvl w:val="0"/>
        <w:rPr>
          <w:sz w:val="22"/>
          <w:szCs w:val="28"/>
        </w:rPr>
      </w:pPr>
      <w:r>
        <w:rPr>
          <w:rFonts w:hint="eastAsia" w:ascii="仿宋_GB2312" w:hAnsi="仿宋_GB2312" w:eastAsia="仿宋_GB2312" w:cs="仿宋_GB2312"/>
          <w:sz w:val="32"/>
          <w:szCs w:val="32"/>
        </w:rPr>
        <w:t>4.进一步完善项目评价过程中有关数据和资料的收集、整理、审核及分析。项目启动时同步做好档案的归纳与整理，及时整理、收集、汇总，健全档案资料。项目后续管理有待进一步加强和跟踪</w:t>
      </w:r>
      <w:r>
        <w:rPr>
          <w:rFonts w:hint="eastAsia" w:ascii="仿宋_GB2312" w:hAnsi="仿宋_GB2312" w:eastAsia="仿宋_GB2312" w:cs="仿宋_GB2312"/>
          <w:sz w:val="36"/>
          <w:szCs w:val="32"/>
        </w:rPr>
        <w:t>。</w:t>
      </w:r>
    </w:p>
    <w:p>
      <w:pPr>
        <w:pageBreakBefore w:val="0"/>
        <w:kinsoku/>
        <w:wordWrap/>
        <w:overflowPunct/>
        <w:topLinePunct w:val="0"/>
        <w:autoSpaceDE/>
        <w:autoSpaceDN/>
        <w:bidi w:val="0"/>
        <w:adjustRightInd/>
        <w:snapToGrid/>
        <w:spacing w:line="560" w:lineRule="exact"/>
        <w:ind w:firstLine="640" w:firstLineChars="200"/>
        <w:textAlignment w:val="auto"/>
        <w:rPr>
          <w:rFonts w:eastAsia="黑体"/>
          <w:sz w:val="32"/>
          <w:szCs w:val="32"/>
        </w:rPr>
      </w:pPr>
      <w:r>
        <w:rPr>
          <w:rFonts w:hint="eastAsia" w:eastAsia="黑体"/>
          <w:sz w:val="32"/>
          <w:szCs w:val="32"/>
        </w:rPr>
        <w:t>八、</w:t>
      </w:r>
      <w:r>
        <w:rPr>
          <w:rFonts w:eastAsia="黑体"/>
          <w:sz w:val="32"/>
          <w:szCs w:val="32"/>
        </w:rPr>
        <w:t>其他需要说</w:t>
      </w:r>
      <w:bookmarkStart w:id="0" w:name="page8"/>
      <w:bookmarkEnd w:id="0"/>
      <w:r>
        <w:rPr>
          <w:rFonts w:eastAsia="黑体"/>
          <w:sz w:val="32"/>
          <w:szCs w:val="32"/>
        </w:rPr>
        <w:t>明的问题</w:t>
      </w:r>
    </w:p>
    <w:p>
      <w:pPr>
        <w:pStyle w:val="12"/>
        <w:pageBreakBefore w:val="0"/>
        <w:kinsoku/>
        <w:wordWrap/>
        <w:overflowPunct/>
        <w:topLinePunct w:val="0"/>
        <w:autoSpaceDE/>
        <w:autoSpaceDN/>
        <w:bidi w:val="0"/>
        <w:adjustRightInd/>
        <w:snapToGrid/>
        <w:spacing w:after="0" w:line="560" w:lineRule="exact"/>
        <w:ind w:left="0" w:leftChars="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本项目无其他需说明的问题。</w:t>
      </w:r>
    </w:p>
    <w:tbl>
      <w:tblPr>
        <w:tblStyle w:val="13"/>
        <w:tblW w:w="8834" w:type="dxa"/>
        <w:jc w:val="center"/>
        <w:tblLayout w:type="autofit"/>
        <w:tblCellMar>
          <w:top w:w="0" w:type="dxa"/>
          <w:left w:w="0" w:type="dxa"/>
          <w:bottom w:w="0" w:type="dxa"/>
          <w:right w:w="0" w:type="dxa"/>
        </w:tblCellMar>
      </w:tblPr>
      <w:tblGrid>
        <w:gridCol w:w="798"/>
        <w:gridCol w:w="984"/>
        <w:gridCol w:w="1196"/>
        <w:gridCol w:w="1276"/>
        <w:gridCol w:w="1276"/>
        <w:gridCol w:w="1559"/>
        <w:gridCol w:w="1745"/>
      </w:tblGrid>
      <w:tr>
        <w:tblPrEx>
          <w:tblCellMar>
            <w:top w:w="0" w:type="dxa"/>
            <w:left w:w="0" w:type="dxa"/>
            <w:bottom w:w="0" w:type="dxa"/>
            <w:right w:w="0" w:type="dxa"/>
          </w:tblCellMar>
        </w:tblPrEx>
        <w:trPr>
          <w:trHeight w:val="420" w:hRule="atLeast"/>
          <w:jc w:val="center"/>
        </w:trPr>
        <w:tc>
          <w:tcPr>
            <w:tcW w:w="8834" w:type="dxa"/>
            <w:gridSpan w:val="7"/>
            <w:tcBorders>
              <w:top w:val="nil"/>
              <w:left w:val="nil"/>
              <w:bottom w:val="single" w:color="auto" w:sz="4" w:space="0"/>
              <w:right w:val="nil"/>
            </w:tcBorders>
            <w:shd w:val="clear" w:color="auto" w:fill="auto"/>
            <w:tcMar>
              <w:top w:w="12" w:type="dxa"/>
              <w:left w:w="12" w:type="dxa"/>
              <w:right w:w="12" w:type="dxa"/>
            </w:tcMar>
            <w:vAlign w:val="center"/>
          </w:tcPr>
          <w:p>
            <w:pPr>
              <w:widowControl/>
              <w:jc w:val="center"/>
              <w:textAlignment w:val="center"/>
              <w:rPr>
                <w:rFonts w:eastAsia="方正小标宋简体"/>
                <w:b/>
                <w:sz w:val="32"/>
                <w:szCs w:val="32"/>
                <w:u w:val="single"/>
              </w:rPr>
            </w:pPr>
            <w:r>
              <w:rPr>
                <w:rFonts w:eastAsia="方正小标宋简体"/>
                <w:b/>
                <w:kern w:val="0"/>
                <w:sz w:val="32"/>
                <w:szCs w:val="32"/>
              </w:rPr>
              <w:t>项目支出绩效自评表</w:t>
            </w:r>
          </w:p>
        </w:tc>
      </w:tr>
      <w:tr>
        <w:tblPrEx>
          <w:tblCellMar>
            <w:top w:w="0" w:type="dxa"/>
            <w:left w:w="0" w:type="dxa"/>
            <w:bottom w:w="0" w:type="dxa"/>
            <w:right w:w="0" w:type="dxa"/>
          </w:tblCellMar>
        </w:tblPrEx>
        <w:trPr>
          <w:trHeight w:val="288" w:hRule="atLeast"/>
          <w:jc w:val="center"/>
        </w:trPr>
        <w:tc>
          <w:tcPr>
            <w:tcW w:w="8834" w:type="dxa"/>
            <w:gridSpan w:val="7"/>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22"/>
                <w:szCs w:val="22"/>
              </w:rPr>
            </w:pPr>
            <w:r>
              <w:rPr>
                <w:kern w:val="0"/>
                <w:sz w:val="22"/>
                <w:szCs w:val="22"/>
              </w:rPr>
              <w:t>（2022年度）</w:t>
            </w:r>
          </w:p>
        </w:tc>
      </w:tr>
      <w:tr>
        <w:tblPrEx>
          <w:tblCellMar>
            <w:top w:w="0" w:type="dxa"/>
            <w:left w:w="0" w:type="dxa"/>
            <w:bottom w:w="0" w:type="dxa"/>
            <w:right w:w="0" w:type="dxa"/>
          </w:tblCellMar>
        </w:tblPrEx>
        <w:trPr>
          <w:trHeight w:val="276" w:hRule="atLeast"/>
          <w:jc w:val="center"/>
        </w:trPr>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rPr>
              <w:t>项目名称</w:t>
            </w:r>
          </w:p>
        </w:tc>
        <w:tc>
          <w:tcPr>
            <w:tcW w:w="7052"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旅游业务成本支出</w:t>
            </w:r>
          </w:p>
        </w:tc>
      </w:tr>
      <w:tr>
        <w:tblPrEx>
          <w:tblCellMar>
            <w:top w:w="0" w:type="dxa"/>
            <w:left w:w="0" w:type="dxa"/>
            <w:bottom w:w="0" w:type="dxa"/>
            <w:right w:w="0" w:type="dxa"/>
          </w:tblCellMar>
        </w:tblPrEx>
        <w:trPr>
          <w:trHeight w:val="276" w:hRule="atLeast"/>
          <w:jc w:val="center"/>
        </w:trPr>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rPr>
              <w:t>主管部门</w:t>
            </w:r>
          </w:p>
        </w:tc>
        <w:tc>
          <w:tcPr>
            <w:tcW w:w="374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新疆维吾尔自治区文化和旅游厅</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rPr>
              <w:t>实施单位</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r>
              <w:rPr>
                <w:rFonts w:hint="eastAsia"/>
                <w:sz w:val="18"/>
                <w:szCs w:val="18"/>
              </w:rPr>
              <w:t>新疆维吾尔自治区旅游培训中心</w:t>
            </w:r>
          </w:p>
        </w:tc>
      </w:tr>
      <w:tr>
        <w:tblPrEx>
          <w:tblCellMar>
            <w:top w:w="0" w:type="dxa"/>
            <w:left w:w="0" w:type="dxa"/>
            <w:bottom w:w="0" w:type="dxa"/>
            <w:right w:w="0" w:type="dxa"/>
          </w:tblCellMar>
        </w:tblPrEx>
        <w:trPr>
          <w:trHeight w:val="276" w:hRule="atLeast"/>
          <w:jc w:val="center"/>
        </w:trPr>
        <w:tc>
          <w:tcPr>
            <w:tcW w:w="17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rPr>
              <w:t>项目资金</w:t>
            </w:r>
          </w:p>
        </w:tc>
        <w:tc>
          <w:tcPr>
            <w:tcW w:w="11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rPr>
              <w:t>年初预算数</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rPr>
              <w:t>全年预算数</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rPr>
              <w:t>全年执行数</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rPr>
              <w:t>执行率</w:t>
            </w:r>
          </w:p>
        </w:tc>
      </w:tr>
      <w:tr>
        <w:tblPrEx>
          <w:tblCellMar>
            <w:top w:w="0" w:type="dxa"/>
            <w:left w:w="0" w:type="dxa"/>
            <w:bottom w:w="0" w:type="dxa"/>
            <w:right w:w="0" w:type="dxa"/>
          </w:tblCellMar>
        </w:tblPrEx>
        <w:trPr>
          <w:trHeight w:val="276" w:hRule="atLeast"/>
          <w:jc w:val="center"/>
        </w:trPr>
        <w:tc>
          <w:tcPr>
            <w:tcW w:w="17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sz w:val="18"/>
                <w:szCs w:val="18"/>
              </w:rPr>
            </w:pPr>
            <w:r>
              <w:rPr>
                <w:kern w:val="0"/>
                <w:sz w:val="18"/>
                <w:szCs w:val="18"/>
              </w:rPr>
              <w:t>年度资金总额</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170万</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170万</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108.72万</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63.95%</w:t>
            </w:r>
          </w:p>
        </w:tc>
      </w:tr>
      <w:tr>
        <w:tblPrEx>
          <w:tblCellMar>
            <w:top w:w="0" w:type="dxa"/>
            <w:left w:w="0" w:type="dxa"/>
            <w:bottom w:w="0" w:type="dxa"/>
            <w:right w:w="0" w:type="dxa"/>
          </w:tblCellMar>
        </w:tblPrEx>
        <w:trPr>
          <w:trHeight w:val="276" w:hRule="atLeast"/>
          <w:jc w:val="center"/>
        </w:trPr>
        <w:tc>
          <w:tcPr>
            <w:tcW w:w="17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rPr>
              <w:t>其中：当年财政拨款</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100万</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100万</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100万</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100%</w:t>
            </w:r>
          </w:p>
        </w:tc>
      </w:tr>
      <w:tr>
        <w:tblPrEx>
          <w:tblCellMar>
            <w:top w:w="0" w:type="dxa"/>
            <w:left w:w="0" w:type="dxa"/>
            <w:bottom w:w="0" w:type="dxa"/>
            <w:right w:w="0" w:type="dxa"/>
          </w:tblCellMar>
        </w:tblPrEx>
        <w:trPr>
          <w:trHeight w:val="276" w:hRule="atLeast"/>
          <w:jc w:val="center"/>
        </w:trPr>
        <w:tc>
          <w:tcPr>
            <w:tcW w:w="17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rPr>
              <w:t>上年结转资金</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r>
      <w:tr>
        <w:tblPrEx>
          <w:tblCellMar>
            <w:top w:w="0" w:type="dxa"/>
            <w:left w:w="0" w:type="dxa"/>
            <w:bottom w:w="0" w:type="dxa"/>
            <w:right w:w="0" w:type="dxa"/>
          </w:tblCellMar>
        </w:tblPrEx>
        <w:trPr>
          <w:trHeight w:val="276" w:hRule="atLeast"/>
          <w:jc w:val="center"/>
        </w:trPr>
        <w:tc>
          <w:tcPr>
            <w:tcW w:w="17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rPr>
              <w:t xml:space="preserve">  其他资金</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r>
              <w:rPr>
                <w:rFonts w:hint="eastAsia"/>
                <w:sz w:val="18"/>
                <w:szCs w:val="18"/>
              </w:rPr>
              <w:t>70万</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r>
              <w:rPr>
                <w:rFonts w:hint="eastAsia"/>
                <w:sz w:val="18"/>
                <w:szCs w:val="18"/>
              </w:rPr>
              <w:t>70万</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r>
              <w:rPr>
                <w:rFonts w:hint="eastAsia"/>
                <w:sz w:val="18"/>
                <w:szCs w:val="18"/>
              </w:rPr>
              <w:t>8.72万</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r>
              <w:rPr>
                <w:rFonts w:hint="eastAsia"/>
                <w:sz w:val="18"/>
                <w:szCs w:val="18"/>
              </w:rPr>
              <w:t>12.46%</w:t>
            </w:r>
          </w:p>
        </w:tc>
      </w:tr>
      <w:tr>
        <w:tblPrEx>
          <w:tblCellMar>
            <w:top w:w="0" w:type="dxa"/>
            <w:left w:w="0" w:type="dxa"/>
            <w:bottom w:w="0" w:type="dxa"/>
            <w:right w:w="0" w:type="dxa"/>
          </w:tblCellMar>
        </w:tblPrEx>
        <w:trPr>
          <w:trHeight w:val="276" w:hRule="atLeast"/>
          <w:jc w:val="center"/>
        </w:trPr>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rPr>
              <w:t>年度总体目标</w:t>
            </w:r>
          </w:p>
        </w:tc>
        <w:tc>
          <w:tcPr>
            <w:tcW w:w="4732"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rPr>
              <w:t>预期目标</w:t>
            </w:r>
          </w:p>
        </w:tc>
        <w:tc>
          <w:tcPr>
            <w:tcW w:w="3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rPr>
              <w:t>实际完成情况</w:t>
            </w:r>
          </w:p>
        </w:tc>
      </w:tr>
      <w:tr>
        <w:tblPrEx>
          <w:tblCellMar>
            <w:top w:w="0" w:type="dxa"/>
            <w:left w:w="0" w:type="dxa"/>
            <w:bottom w:w="0" w:type="dxa"/>
            <w:right w:w="0" w:type="dxa"/>
          </w:tblCellMar>
        </w:tblPrEx>
        <w:trPr>
          <w:trHeight w:val="72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4732"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sz w:val="18"/>
                <w:szCs w:val="18"/>
              </w:rPr>
            </w:pPr>
            <w:r>
              <w:rPr>
                <w:rFonts w:hint="eastAsia"/>
                <w:sz w:val="18"/>
                <w:szCs w:val="18"/>
              </w:rPr>
              <w:t>利用信息化建设成果，提高工作质量和效率，以线上为主，线下为辅的原则开展各项培训，通过更科学的课程设计，务实的调查研究，制定出有针对性的培训方案和方法，以实现低成本，高质量，扩范围，增人数的目标。</w:t>
            </w:r>
          </w:p>
        </w:tc>
        <w:tc>
          <w:tcPr>
            <w:tcW w:w="3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sz w:val="18"/>
                <w:szCs w:val="18"/>
              </w:rPr>
            </w:pPr>
            <w:r>
              <w:rPr>
                <w:rFonts w:hint="eastAsia"/>
                <w:sz w:val="18"/>
                <w:szCs w:val="18"/>
              </w:rPr>
              <w:t>利用信息化建设成果，提高工作质量和效率，以线上为主，线下为辅的原则开展各项培训，通过更科学的课程设计，务实的调查研究，制定出有针对性的培训方案和方法，以实现低成本，高质量，扩范围，增人数的目标。</w:t>
            </w:r>
          </w:p>
        </w:tc>
      </w:tr>
      <w:tr>
        <w:tblPrEx>
          <w:tblCellMar>
            <w:top w:w="0" w:type="dxa"/>
            <w:left w:w="0" w:type="dxa"/>
            <w:bottom w:w="0" w:type="dxa"/>
            <w:right w:w="0" w:type="dxa"/>
          </w:tblCellMar>
        </w:tblPrEx>
        <w:trPr>
          <w:trHeight w:val="408" w:hRule="atLeast"/>
          <w:jc w:val="center"/>
        </w:trPr>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rPr>
              <w:t>绩效指标</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rPr>
              <w:t>一级指标</w:t>
            </w:r>
          </w:p>
        </w:tc>
        <w:tc>
          <w:tcPr>
            <w:tcW w:w="119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rPr>
              <w:t>二级指标</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rPr>
              <w:t>三级指标</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rPr>
              <w:t>年度指标值</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rPr>
              <w:t>实际完成值</w:t>
            </w:r>
          </w:p>
        </w:tc>
        <w:tc>
          <w:tcPr>
            <w:tcW w:w="174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rPr>
              <w:t>偏差原因分析及改进措施</w:t>
            </w:r>
          </w:p>
        </w:tc>
      </w:tr>
      <w:tr>
        <w:tblPrEx>
          <w:tblCellMar>
            <w:top w:w="0" w:type="dxa"/>
            <w:left w:w="0" w:type="dxa"/>
            <w:bottom w:w="0" w:type="dxa"/>
            <w:right w:w="0" w:type="dxa"/>
          </w:tblCellMar>
        </w:tblPrEx>
        <w:trPr>
          <w:trHeight w:val="408"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r>
      <w:tr>
        <w:tblPrEx>
          <w:tblCellMar>
            <w:top w:w="0" w:type="dxa"/>
            <w:left w:w="0" w:type="dxa"/>
            <w:bottom w:w="0" w:type="dxa"/>
            <w:right w:w="0" w:type="dxa"/>
          </w:tblCellMar>
        </w:tblPrEx>
        <w:trPr>
          <w:trHeight w:val="876"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rPr>
              <w:t>产出指标</w:t>
            </w:r>
          </w:p>
        </w:tc>
        <w:tc>
          <w:tcPr>
            <w:tcW w:w="1196"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rPr>
              <w:t>数量指标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sz w:val="18"/>
                <w:szCs w:val="18"/>
              </w:rPr>
            </w:pPr>
            <w:r>
              <w:rPr>
                <w:rFonts w:hint="eastAsia"/>
                <w:sz w:val="18"/>
                <w:szCs w:val="18"/>
              </w:rPr>
              <w:t>培训人数（人）</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≥350人</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0人</w:t>
            </w:r>
          </w:p>
        </w:tc>
        <w:tc>
          <w:tcPr>
            <w:tcW w:w="1745"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r>
              <w:rPr>
                <w:rFonts w:hint="eastAsia"/>
                <w:sz w:val="18"/>
                <w:szCs w:val="18"/>
              </w:rPr>
              <w:t>因疫情原因及业务处室意见，原计划举办的“自治区全域旅游培训班、自治区文旅系统办公室主任培训班、自治区文旅系统安全生产培训班（北疆片区）”3期培训班未能举办，已向厅人事处报备，并获得同意，因此该指标未完成</w:t>
            </w:r>
          </w:p>
        </w:tc>
      </w:tr>
      <w:tr>
        <w:tblPrEx>
          <w:tblCellMar>
            <w:top w:w="0" w:type="dxa"/>
            <w:left w:w="0" w:type="dxa"/>
            <w:bottom w:w="0" w:type="dxa"/>
            <w:right w:w="0" w:type="dxa"/>
          </w:tblCellMar>
        </w:tblPrEx>
        <w:trPr>
          <w:trHeight w:val="876"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kern w:val="0"/>
                <w:sz w:val="18"/>
                <w:szCs w:val="18"/>
              </w:rPr>
            </w:pPr>
          </w:p>
        </w:tc>
        <w:tc>
          <w:tcPr>
            <w:tcW w:w="1196"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sz w:val="18"/>
                <w:szCs w:val="18"/>
              </w:rPr>
            </w:pPr>
            <w:r>
              <w:rPr>
                <w:rFonts w:hint="eastAsia"/>
                <w:sz w:val="18"/>
                <w:szCs w:val="18"/>
              </w:rPr>
              <w:t>培训天数（天）</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≥15天</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0天</w:t>
            </w:r>
          </w:p>
        </w:tc>
        <w:tc>
          <w:tcPr>
            <w:tcW w:w="1745"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r>
      <w:tr>
        <w:tblPrEx>
          <w:tblCellMar>
            <w:top w:w="0" w:type="dxa"/>
            <w:left w:w="0" w:type="dxa"/>
            <w:bottom w:w="0" w:type="dxa"/>
            <w:right w:w="0" w:type="dxa"/>
          </w:tblCellMar>
        </w:tblPrEx>
        <w:trPr>
          <w:trHeight w:val="876"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kern w:val="0"/>
                <w:sz w:val="18"/>
                <w:szCs w:val="18"/>
              </w:rPr>
            </w:pPr>
          </w:p>
        </w:tc>
        <w:tc>
          <w:tcPr>
            <w:tcW w:w="1196"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sz w:val="18"/>
                <w:szCs w:val="18"/>
              </w:rPr>
            </w:pPr>
            <w:r>
              <w:rPr>
                <w:rFonts w:hint="eastAsia"/>
                <w:sz w:val="18"/>
                <w:szCs w:val="18"/>
              </w:rPr>
              <w:t>培训班次（班次）</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≥3个</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0个</w:t>
            </w:r>
          </w:p>
        </w:tc>
        <w:tc>
          <w:tcPr>
            <w:tcW w:w="1745"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r>
      <w:tr>
        <w:tblPrEx>
          <w:tblCellMar>
            <w:top w:w="0" w:type="dxa"/>
            <w:left w:w="0" w:type="dxa"/>
            <w:bottom w:w="0" w:type="dxa"/>
            <w:right w:w="0" w:type="dxa"/>
          </w:tblCellMar>
        </w:tblPrEx>
        <w:trPr>
          <w:trHeight w:val="876"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kern w:val="0"/>
                <w:sz w:val="18"/>
                <w:szCs w:val="18"/>
              </w:rPr>
            </w:pPr>
          </w:p>
        </w:tc>
        <w:tc>
          <w:tcPr>
            <w:tcW w:w="1196"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sz w:val="18"/>
                <w:szCs w:val="18"/>
              </w:rPr>
            </w:pPr>
            <w:r>
              <w:rPr>
                <w:rFonts w:hint="eastAsia"/>
                <w:sz w:val="18"/>
                <w:szCs w:val="18"/>
              </w:rPr>
              <w:t>发放工资人数</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≥7人</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8人</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r>
      <w:tr>
        <w:tblPrEx>
          <w:tblCellMar>
            <w:top w:w="0" w:type="dxa"/>
            <w:left w:w="0" w:type="dxa"/>
            <w:bottom w:w="0" w:type="dxa"/>
            <w:right w:w="0" w:type="dxa"/>
          </w:tblCellMar>
        </w:tblPrEx>
        <w:trPr>
          <w:trHeight w:val="876"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kern w:val="0"/>
                <w:sz w:val="18"/>
                <w:szCs w:val="18"/>
              </w:rPr>
            </w:pPr>
          </w:p>
        </w:tc>
        <w:tc>
          <w:tcPr>
            <w:tcW w:w="1196"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sz w:val="18"/>
                <w:szCs w:val="18"/>
              </w:rPr>
            </w:pPr>
            <w:r>
              <w:rPr>
                <w:rFonts w:hint="eastAsia"/>
                <w:sz w:val="18"/>
                <w:szCs w:val="18"/>
              </w:rPr>
              <w:t>工资发放次数</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≥12次</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12次</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r>
      <w:tr>
        <w:tblPrEx>
          <w:tblCellMar>
            <w:top w:w="0" w:type="dxa"/>
            <w:left w:w="0" w:type="dxa"/>
            <w:bottom w:w="0" w:type="dxa"/>
            <w:right w:w="0" w:type="dxa"/>
          </w:tblCellMar>
        </w:tblPrEx>
        <w:trPr>
          <w:trHeight w:val="876"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98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kern w:val="0"/>
                <w:sz w:val="18"/>
                <w:szCs w:val="18"/>
              </w:rPr>
            </w:pPr>
          </w:p>
        </w:tc>
        <w:tc>
          <w:tcPr>
            <w:tcW w:w="1196"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kern w:val="0"/>
                <w:sz w:val="18"/>
                <w:szCs w:val="18"/>
              </w:rPr>
            </w:pPr>
            <w:r>
              <w:rPr>
                <w:kern w:val="0"/>
                <w:sz w:val="18"/>
                <w:szCs w:val="18"/>
              </w:rPr>
              <w:t>质量指标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sz w:val="18"/>
                <w:szCs w:val="18"/>
              </w:rPr>
            </w:pPr>
            <w:r>
              <w:rPr>
                <w:rFonts w:hint="eastAsia"/>
                <w:sz w:val="18"/>
                <w:szCs w:val="18"/>
              </w:rPr>
              <w:t>培训合格率（%）</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≥95%</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95%</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r>
      <w:tr>
        <w:tblPrEx>
          <w:tblCellMar>
            <w:top w:w="0" w:type="dxa"/>
            <w:left w:w="0" w:type="dxa"/>
            <w:bottom w:w="0" w:type="dxa"/>
            <w:right w:w="0" w:type="dxa"/>
          </w:tblCellMar>
        </w:tblPrEx>
        <w:trPr>
          <w:trHeight w:val="876"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98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kern w:val="0"/>
                <w:sz w:val="18"/>
                <w:szCs w:val="18"/>
              </w:rPr>
            </w:pPr>
          </w:p>
        </w:tc>
        <w:tc>
          <w:tcPr>
            <w:tcW w:w="1196"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sz w:val="18"/>
                <w:szCs w:val="18"/>
              </w:rPr>
            </w:pPr>
            <w:r>
              <w:rPr>
                <w:rFonts w:hint="eastAsia"/>
                <w:sz w:val="18"/>
                <w:szCs w:val="18"/>
              </w:rPr>
              <w:t>培训出勤率（%）</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≥95%</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95%</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r>
      <w:tr>
        <w:tblPrEx>
          <w:tblCellMar>
            <w:top w:w="0" w:type="dxa"/>
            <w:left w:w="0" w:type="dxa"/>
            <w:bottom w:w="0" w:type="dxa"/>
            <w:right w:w="0" w:type="dxa"/>
          </w:tblCellMar>
        </w:tblPrEx>
        <w:trPr>
          <w:trHeight w:val="50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196"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rPr>
              <w:t>时效指标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sz w:val="18"/>
                <w:szCs w:val="18"/>
              </w:rPr>
            </w:pPr>
            <w:r>
              <w:rPr>
                <w:rFonts w:hint="eastAsia"/>
                <w:sz w:val="18"/>
                <w:szCs w:val="18"/>
              </w:rPr>
              <w:t>培训按期完成率</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≥90%</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0</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r>
              <w:rPr>
                <w:rFonts w:hint="eastAsia"/>
                <w:sz w:val="18"/>
                <w:szCs w:val="18"/>
              </w:rPr>
              <w:t>因疫情原因及业务处室意见，原计划举办的“自治区全域旅游培训班、自治区文旅系统办公室主任培训班、自治区文旅系统安全生产培训班（北疆片区）”3期培训班未能举办，已向厅人事处报备，并获得同意，因此该指标未完成</w:t>
            </w:r>
          </w:p>
        </w:tc>
      </w:tr>
      <w:tr>
        <w:tblPrEx>
          <w:tblCellMar>
            <w:top w:w="0" w:type="dxa"/>
            <w:left w:w="0" w:type="dxa"/>
            <w:bottom w:w="0" w:type="dxa"/>
            <w:right w:w="0" w:type="dxa"/>
          </w:tblCellMar>
        </w:tblPrEx>
        <w:trPr>
          <w:trHeight w:val="50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196"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sz w:val="18"/>
                <w:szCs w:val="18"/>
              </w:rPr>
            </w:pPr>
            <w:r>
              <w:rPr>
                <w:rFonts w:hint="eastAsia"/>
                <w:sz w:val="18"/>
                <w:szCs w:val="18"/>
              </w:rPr>
              <w:t>资金发放及时率</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≥95%</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sz w:val="18"/>
                <w:szCs w:val="18"/>
              </w:rPr>
              <w:t>66.67%</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r>
              <w:rPr>
                <w:rFonts w:hint="eastAsia"/>
                <w:sz w:val="18"/>
                <w:szCs w:val="18"/>
              </w:rPr>
              <w:t>因疫情影响，财务人员在家静默，无法及时划款，因此8-11月工资均延迟发放。</w:t>
            </w:r>
          </w:p>
        </w:tc>
      </w:tr>
      <w:tr>
        <w:tblPrEx>
          <w:tblCellMar>
            <w:top w:w="0" w:type="dxa"/>
            <w:left w:w="0" w:type="dxa"/>
            <w:bottom w:w="0" w:type="dxa"/>
            <w:right w:w="0" w:type="dxa"/>
          </w:tblCellMar>
        </w:tblPrEx>
        <w:trPr>
          <w:trHeight w:val="56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196"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kern w:val="0"/>
                <w:sz w:val="18"/>
                <w:szCs w:val="18"/>
              </w:rPr>
            </w:pPr>
            <w:r>
              <w:rPr>
                <w:kern w:val="0"/>
                <w:sz w:val="18"/>
                <w:szCs w:val="18"/>
              </w:rPr>
              <w:t>成本指标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sz w:val="18"/>
                <w:szCs w:val="18"/>
              </w:rPr>
            </w:pPr>
            <w:r>
              <w:rPr>
                <w:rFonts w:hint="eastAsia"/>
                <w:sz w:val="18"/>
                <w:szCs w:val="18"/>
              </w:rPr>
              <w:t>培训人均支出标准</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≤200元/人.天</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200元/人.天</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r>
      <w:tr>
        <w:tblPrEx>
          <w:tblCellMar>
            <w:top w:w="0" w:type="dxa"/>
            <w:left w:w="0" w:type="dxa"/>
            <w:bottom w:w="0" w:type="dxa"/>
            <w:right w:w="0" w:type="dxa"/>
          </w:tblCellMar>
        </w:tblPrEx>
        <w:trPr>
          <w:trHeight w:val="56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196"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sz w:val="18"/>
                <w:szCs w:val="18"/>
              </w:rPr>
            </w:pPr>
            <w:r>
              <w:rPr>
                <w:rFonts w:hint="eastAsia"/>
                <w:sz w:val="18"/>
                <w:szCs w:val="18"/>
              </w:rPr>
              <w:t>每次发放工资资金数</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≤5万</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4.92万</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r>
      <w:tr>
        <w:tblPrEx>
          <w:tblCellMar>
            <w:top w:w="0" w:type="dxa"/>
            <w:left w:w="0" w:type="dxa"/>
            <w:bottom w:w="0" w:type="dxa"/>
            <w:right w:w="0" w:type="dxa"/>
          </w:tblCellMar>
        </w:tblPrEx>
        <w:trPr>
          <w:trHeight w:val="714"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196"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sz w:val="18"/>
                <w:szCs w:val="18"/>
              </w:rPr>
            </w:pPr>
            <w:r>
              <w:rPr>
                <w:rFonts w:hint="eastAsia"/>
                <w:sz w:val="18"/>
                <w:szCs w:val="18"/>
              </w:rPr>
              <w:t>劳务支出</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≤30万</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54.1万</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r>
              <w:rPr>
                <w:rFonts w:hint="eastAsia"/>
                <w:sz w:val="18"/>
                <w:szCs w:val="18"/>
              </w:rPr>
              <w:t>指标值设置不准确，未考虑人员增加的问题。</w:t>
            </w:r>
          </w:p>
        </w:tc>
      </w:tr>
      <w:tr>
        <w:tblPrEx>
          <w:tblCellMar>
            <w:top w:w="0" w:type="dxa"/>
            <w:left w:w="0" w:type="dxa"/>
            <w:bottom w:w="0" w:type="dxa"/>
            <w:right w:w="0" w:type="dxa"/>
          </w:tblCellMar>
        </w:tblPrEx>
        <w:trPr>
          <w:trHeight w:val="62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984" w:type="dxa"/>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rPr>
              <w:t>效益指标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sz w:val="18"/>
                <w:szCs w:val="18"/>
              </w:rPr>
              <w:t>社会效益指标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sz w:val="18"/>
                <w:szCs w:val="18"/>
              </w:rPr>
            </w:pPr>
            <w:r>
              <w:rPr>
                <w:rFonts w:hint="eastAsia"/>
                <w:sz w:val="18"/>
                <w:szCs w:val="18"/>
              </w:rPr>
              <w:t>城市形象提升</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有效提升</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有效提升</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r>
      <w:tr>
        <w:tblPrEx>
          <w:tblCellMar>
            <w:top w:w="0" w:type="dxa"/>
            <w:left w:w="0" w:type="dxa"/>
            <w:bottom w:w="0" w:type="dxa"/>
            <w:right w:w="0" w:type="dxa"/>
          </w:tblCellMar>
        </w:tblPrEx>
        <w:trPr>
          <w:trHeight w:val="432"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rPr>
              <w:t>满意度</w:t>
            </w:r>
          </w:p>
        </w:tc>
        <w:tc>
          <w:tcPr>
            <w:tcW w:w="11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rPr>
              <w:t>服务对象满意度指标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sz w:val="18"/>
                <w:szCs w:val="18"/>
              </w:rPr>
            </w:pPr>
            <w:r>
              <w:rPr>
                <w:rFonts w:hint="eastAsia"/>
                <w:sz w:val="18"/>
                <w:szCs w:val="18"/>
              </w:rPr>
              <w:t>受益人员满意度</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≥95%</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95%</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r>
    </w:tbl>
    <w:p>
      <w:pPr>
        <w:pStyle w:val="12"/>
        <w:spacing w:after="0" w:line="560" w:lineRule="exact"/>
        <w:ind w:left="0" w:leftChars="0" w:firstLine="640"/>
        <w:rPr>
          <w:rFonts w:ascii="仿宋_GB2312" w:hAnsi="仿宋_GB2312" w:eastAsia="仿宋_GB2312" w:cs="仿宋_GB2312"/>
          <w:sz w:val="32"/>
          <w:szCs w:val="32"/>
        </w:rPr>
      </w:pPr>
    </w:p>
    <w:p>
      <w:pPr>
        <w:pStyle w:val="12"/>
        <w:spacing w:after="0" w:line="560" w:lineRule="exact"/>
        <w:ind w:left="0" w:leftChars="0" w:firstLine="640"/>
        <w:rPr>
          <w:rFonts w:ascii="仿宋_GB2312" w:hAnsi="仿宋_GB2312" w:eastAsia="仿宋_GB2312" w:cs="仿宋_GB2312"/>
          <w:sz w:val="32"/>
          <w:szCs w:val="32"/>
        </w:rPr>
      </w:pPr>
    </w:p>
    <w:p>
      <w:pPr>
        <w:pStyle w:val="12"/>
        <w:spacing w:after="0" w:line="560" w:lineRule="exact"/>
        <w:ind w:left="0" w:leftChars="0" w:firstLine="0" w:firstLineChars="0"/>
        <w:rPr>
          <w:rFonts w:ascii="仿宋_GB2312" w:hAnsi="仿宋_GB2312" w:eastAsia="仿宋_GB2312" w:cs="仿宋_GB2312"/>
          <w:sz w:val="32"/>
          <w:szCs w:val="32"/>
        </w:rPr>
      </w:pPr>
    </w:p>
    <w:p>
      <w:pPr>
        <w:widowControl/>
        <w:jc w:val="center"/>
        <w:textAlignment w:val="center"/>
        <w:rPr>
          <w:rFonts w:eastAsia="方正小标宋简体"/>
          <w:b/>
          <w:kern w:val="0"/>
          <w:sz w:val="32"/>
          <w:szCs w:val="32"/>
        </w:rPr>
        <w:sectPr>
          <w:pgSz w:w="11906" w:h="16838"/>
          <w:pgMar w:top="1440" w:right="1558" w:bottom="1440" w:left="1800" w:header="851" w:footer="992" w:gutter="0"/>
          <w:cols w:space="425" w:num="1"/>
          <w:docGrid w:type="lines" w:linePitch="312" w:charSpace="0"/>
        </w:sectPr>
      </w:pPr>
    </w:p>
    <w:p>
      <w:pPr>
        <w:spacing w:line="600" w:lineRule="exact"/>
        <w:rPr>
          <w:rFonts w:ascii="黑体" w:hAnsi="黑体" w:eastAsia="黑体" w:cs="黑体"/>
        </w:rPr>
      </w:pPr>
      <w:r>
        <w:rPr>
          <w:rFonts w:hint="eastAsia" w:ascii="黑体" w:hAnsi="黑体" w:eastAsia="黑体" w:cs="黑体"/>
          <w:bCs/>
          <w:sz w:val="32"/>
          <w:szCs w:val="32"/>
        </w:rPr>
        <w:t>附件1</w:t>
      </w:r>
    </w:p>
    <w:p>
      <w:pPr>
        <w:pStyle w:val="18"/>
        <w:ind w:firstLine="562"/>
        <w:jc w:val="center"/>
        <w:rPr>
          <w:sz w:val="28"/>
          <w:szCs w:val="40"/>
        </w:rPr>
      </w:pPr>
      <w:bookmarkStart w:id="1" w:name="_Toc26499_WPSOffice_Level2"/>
      <w:bookmarkStart w:id="2" w:name="_Toc30064_WPSOffice_Level1"/>
      <w:r>
        <w:rPr>
          <w:rFonts w:hint="eastAsia"/>
          <w:b/>
          <w:bCs/>
          <w:sz w:val="28"/>
          <w:szCs w:val="40"/>
          <w:highlight w:val="none"/>
        </w:rPr>
        <w:t>旅游业务成本支出项目绩效评</w:t>
      </w:r>
      <w:r>
        <w:rPr>
          <w:rFonts w:hint="eastAsia"/>
          <w:b/>
          <w:bCs/>
          <w:sz w:val="28"/>
          <w:szCs w:val="40"/>
        </w:rPr>
        <w:t>价指标体系及综合评分表</w:t>
      </w:r>
      <w:bookmarkEnd w:id="1"/>
      <w:bookmarkEnd w:id="2"/>
    </w:p>
    <w:tbl>
      <w:tblPr>
        <w:tblStyle w:val="13"/>
        <w:tblW w:w="4474"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832"/>
        <w:gridCol w:w="764"/>
        <w:gridCol w:w="873"/>
        <w:gridCol w:w="2353"/>
        <w:gridCol w:w="5198"/>
        <w:gridCol w:w="1300"/>
        <w:gridCol w:w="13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2" w:hRule="atLeast"/>
          <w:tblHeader/>
          <w:jc w:val="center"/>
        </w:trPr>
        <w:tc>
          <w:tcPr>
            <w:tcW w:w="328"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一级指标</w:t>
            </w:r>
          </w:p>
        </w:tc>
        <w:tc>
          <w:tcPr>
            <w:tcW w:w="301"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二级指标</w:t>
            </w:r>
          </w:p>
        </w:tc>
        <w:tc>
          <w:tcPr>
            <w:tcW w:w="344"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三级指标</w:t>
            </w:r>
          </w:p>
        </w:tc>
        <w:tc>
          <w:tcPr>
            <w:tcW w:w="927"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指标解释</w:t>
            </w:r>
          </w:p>
        </w:tc>
        <w:tc>
          <w:tcPr>
            <w:tcW w:w="2048"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指标说明</w:t>
            </w:r>
          </w:p>
        </w:tc>
        <w:tc>
          <w:tcPr>
            <w:tcW w:w="512"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权重</w:t>
            </w:r>
          </w:p>
        </w:tc>
        <w:tc>
          <w:tcPr>
            <w:tcW w:w="537"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328" w:type="pct"/>
            <w:vMerge w:val="restart"/>
            <w:shd w:val="clear" w:color="auto" w:fill="FFFFFF"/>
            <w:vAlign w:val="center"/>
          </w:tcPr>
          <w:p>
            <w:pPr>
              <w:widowControl/>
              <w:spacing w:line="0" w:lineRule="atLeast"/>
              <w:jc w:val="center"/>
              <w:rPr>
                <w:color w:val="000000"/>
                <w:kern w:val="0"/>
                <w:sz w:val="22"/>
                <w:szCs w:val="22"/>
              </w:rPr>
            </w:pPr>
          </w:p>
          <w:p>
            <w:pPr>
              <w:widowControl/>
              <w:spacing w:line="0" w:lineRule="atLeast"/>
              <w:jc w:val="center"/>
              <w:rPr>
                <w:color w:val="000000"/>
                <w:kern w:val="0"/>
                <w:sz w:val="22"/>
                <w:szCs w:val="22"/>
              </w:rPr>
            </w:pPr>
          </w:p>
          <w:p>
            <w:pPr>
              <w:widowControl/>
              <w:spacing w:line="0" w:lineRule="atLeast"/>
              <w:jc w:val="center"/>
              <w:rPr>
                <w:color w:val="000000"/>
                <w:kern w:val="0"/>
                <w:sz w:val="22"/>
                <w:szCs w:val="22"/>
              </w:rPr>
            </w:pPr>
          </w:p>
          <w:p>
            <w:pPr>
              <w:widowControl/>
              <w:spacing w:line="0" w:lineRule="atLeast"/>
              <w:jc w:val="center"/>
              <w:rPr>
                <w:color w:val="000000"/>
                <w:kern w:val="0"/>
                <w:sz w:val="22"/>
                <w:szCs w:val="22"/>
              </w:rPr>
            </w:pPr>
          </w:p>
          <w:p>
            <w:pPr>
              <w:widowControl/>
              <w:spacing w:line="0" w:lineRule="atLeast"/>
              <w:jc w:val="center"/>
              <w:rPr>
                <w:color w:val="000000"/>
                <w:kern w:val="0"/>
                <w:sz w:val="22"/>
                <w:szCs w:val="22"/>
              </w:rPr>
            </w:pPr>
          </w:p>
          <w:p>
            <w:pPr>
              <w:widowControl/>
              <w:spacing w:line="0" w:lineRule="atLeast"/>
              <w:jc w:val="center"/>
              <w:rPr>
                <w:color w:val="000000"/>
                <w:kern w:val="0"/>
                <w:sz w:val="22"/>
                <w:szCs w:val="22"/>
              </w:rPr>
            </w:pPr>
          </w:p>
          <w:p>
            <w:pPr>
              <w:widowControl/>
              <w:spacing w:line="0" w:lineRule="atLeast"/>
              <w:jc w:val="center"/>
              <w:rPr>
                <w:color w:val="000000"/>
                <w:kern w:val="0"/>
                <w:sz w:val="22"/>
                <w:szCs w:val="22"/>
              </w:rPr>
            </w:pPr>
            <w:r>
              <w:rPr>
                <w:color w:val="000000"/>
                <w:kern w:val="0"/>
                <w:sz w:val="22"/>
                <w:szCs w:val="22"/>
              </w:rPr>
              <w:t>决策　</w:t>
            </w:r>
          </w:p>
        </w:tc>
        <w:tc>
          <w:tcPr>
            <w:tcW w:w="301"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项目立项　</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立项依据</w:t>
            </w:r>
          </w:p>
          <w:p>
            <w:pPr>
              <w:widowControl/>
              <w:spacing w:line="0" w:lineRule="atLeast"/>
              <w:jc w:val="center"/>
              <w:rPr>
                <w:color w:val="000000"/>
                <w:kern w:val="0"/>
                <w:sz w:val="22"/>
                <w:szCs w:val="22"/>
              </w:rPr>
            </w:pPr>
            <w:r>
              <w:rPr>
                <w:color w:val="000000"/>
                <w:kern w:val="0"/>
                <w:sz w:val="22"/>
                <w:szCs w:val="22"/>
              </w:rPr>
              <w:t>充分性</w:t>
            </w:r>
          </w:p>
        </w:tc>
        <w:tc>
          <w:tcPr>
            <w:tcW w:w="927" w:type="pct"/>
            <w:shd w:val="clear" w:color="auto" w:fill="FFFFFF"/>
            <w:vAlign w:val="center"/>
          </w:tcPr>
          <w:p>
            <w:pPr>
              <w:widowControl/>
              <w:spacing w:line="0" w:lineRule="atLeast"/>
              <w:rPr>
                <w:color w:val="000000"/>
                <w:kern w:val="0"/>
                <w:sz w:val="22"/>
                <w:szCs w:val="22"/>
              </w:rPr>
            </w:pPr>
            <w:r>
              <w:rPr>
                <w:color w:val="000000"/>
                <w:kern w:val="0"/>
                <w:sz w:val="22"/>
                <w:szCs w:val="22"/>
              </w:rPr>
              <w:t>项目立项是否符合法律法规、相关政策、发展规划以及部门职责，用以反映和考核项目立项依据情况。</w:t>
            </w:r>
          </w:p>
        </w:tc>
        <w:tc>
          <w:tcPr>
            <w:tcW w:w="2048" w:type="pct"/>
            <w:shd w:val="clear" w:color="auto" w:fill="FFFFFF"/>
            <w:vAlign w:val="center"/>
          </w:tcPr>
          <w:p>
            <w:pPr>
              <w:widowControl/>
              <w:spacing w:line="0" w:lineRule="atLeast"/>
              <w:jc w:val="lef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①项目立项是否符合国家法律法规、国民经济发展规划和相关政策；</w:t>
            </w:r>
            <w:r>
              <w:rPr>
                <w:color w:val="000000"/>
                <w:kern w:val="0"/>
                <w:sz w:val="22"/>
                <w:szCs w:val="22"/>
              </w:rPr>
              <w:br w:type="textWrapping"/>
            </w:r>
            <w:r>
              <w:rPr>
                <w:color w:val="000000"/>
                <w:kern w:val="0"/>
                <w:sz w:val="22"/>
                <w:szCs w:val="22"/>
              </w:rPr>
              <w:t>②项目立项是否符合行业发展规划和政策要求；</w:t>
            </w:r>
            <w:r>
              <w:rPr>
                <w:color w:val="000000"/>
                <w:kern w:val="0"/>
                <w:sz w:val="22"/>
                <w:szCs w:val="22"/>
              </w:rPr>
              <w:br w:type="textWrapping"/>
            </w:r>
            <w:r>
              <w:rPr>
                <w:color w:val="000000"/>
                <w:kern w:val="0"/>
                <w:sz w:val="22"/>
                <w:szCs w:val="22"/>
              </w:rPr>
              <w:t>③项目立项是否与部门职责范围相符，属于部门履职所需；</w:t>
            </w:r>
            <w:r>
              <w:rPr>
                <w:color w:val="000000"/>
                <w:kern w:val="0"/>
                <w:sz w:val="22"/>
                <w:szCs w:val="22"/>
              </w:rPr>
              <w:br w:type="textWrapping"/>
            </w:r>
            <w:r>
              <w:rPr>
                <w:color w:val="000000"/>
                <w:kern w:val="0"/>
                <w:sz w:val="22"/>
                <w:szCs w:val="22"/>
              </w:rPr>
              <w:t>④项目是否属于公共财政支持范围，是否符合中央、地方事权支出责任划分原则；</w:t>
            </w:r>
            <w:r>
              <w:rPr>
                <w:color w:val="000000"/>
                <w:kern w:val="0"/>
                <w:sz w:val="22"/>
                <w:szCs w:val="22"/>
              </w:rPr>
              <w:br w:type="textWrapping"/>
            </w:r>
            <w:r>
              <w:rPr>
                <w:color w:val="000000"/>
                <w:kern w:val="0"/>
                <w:sz w:val="22"/>
                <w:szCs w:val="22"/>
              </w:rPr>
              <w:t>⑤项目是否与相关部门同类项目或部门内部相关项目重复。</w:t>
            </w:r>
          </w:p>
        </w:tc>
        <w:tc>
          <w:tcPr>
            <w:tcW w:w="512"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3</w:t>
            </w:r>
          </w:p>
        </w:tc>
        <w:tc>
          <w:tcPr>
            <w:tcW w:w="537" w:type="pct"/>
            <w:shd w:val="clear" w:color="auto" w:fill="FFFFFF"/>
            <w:vAlign w:val="center"/>
          </w:tcPr>
          <w:p>
            <w:pPr>
              <w:widowControl/>
              <w:spacing w:line="0" w:lineRule="atLeast"/>
              <w:jc w:val="center"/>
              <w:rPr>
                <w:b/>
                <w:bCs/>
                <w:color w:val="000000"/>
                <w:kern w:val="0"/>
                <w:sz w:val="22"/>
                <w:szCs w:val="22"/>
              </w:rPr>
            </w:pPr>
            <w:r>
              <w:rPr>
                <w:rFonts w:hint="eastAsia"/>
                <w:b/>
                <w:bCs/>
                <w:color w:val="000000"/>
                <w:kern w:val="0"/>
                <w:sz w:val="22"/>
                <w:szCs w:val="22"/>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28" w:type="pct"/>
            <w:vMerge w:val="continue"/>
            <w:shd w:val="clear" w:color="auto" w:fill="FFFFFF"/>
            <w:vAlign w:val="center"/>
          </w:tcPr>
          <w:p>
            <w:pPr>
              <w:spacing w:line="0" w:lineRule="atLeast"/>
              <w:jc w:val="center"/>
              <w:rPr>
                <w:color w:val="000000"/>
                <w:kern w:val="0"/>
                <w:sz w:val="22"/>
                <w:szCs w:val="22"/>
              </w:rPr>
            </w:pPr>
          </w:p>
        </w:tc>
        <w:tc>
          <w:tcPr>
            <w:tcW w:w="301" w:type="pct"/>
            <w:vMerge w:val="continue"/>
            <w:shd w:val="clear" w:color="auto" w:fill="FFFFFF"/>
            <w:vAlign w:val="center"/>
          </w:tcPr>
          <w:p>
            <w:pPr>
              <w:widowControl/>
              <w:spacing w:line="0" w:lineRule="atLeast"/>
              <w:jc w:val="center"/>
              <w:rPr>
                <w:color w:val="000000"/>
                <w:kern w:val="0"/>
                <w:sz w:val="22"/>
                <w:szCs w:val="22"/>
              </w:rPr>
            </w:pP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立项程序</w:t>
            </w:r>
          </w:p>
          <w:p>
            <w:pPr>
              <w:widowControl/>
              <w:spacing w:line="0" w:lineRule="atLeast"/>
              <w:jc w:val="center"/>
              <w:rPr>
                <w:color w:val="000000"/>
                <w:kern w:val="0"/>
                <w:sz w:val="22"/>
                <w:szCs w:val="22"/>
              </w:rPr>
            </w:pPr>
            <w:r>
              <w:rPr>
                <w:color w:val="000000"/>
                <w:kern w:val="0"/>
                <w:sz w:val="22"/>
                <w:szCs w:val="22"/>
              </w:rPr>
              <w:t>规范性</w:t>
            </w:r>
          </w:p>
        </w:tc>
        <w:tc>
          <w:tcPr>
            <w:tcW w:w="927" w:type="pct"/>
            <w:shd w:val="clear" w:color="auto" w:fill="FFFFFF"/>
            <w:vAlign w:val="center"/>
          </w:tcPr>
          <w:p>
            <w:pPr>
              <w:widowControl/>
              <w:spacing w:line="0" w:lineRule="atLeast"/>
              <w:rPr>
                <w:color w:val="000000"/>
                <w:kern w:val="0"/>
                <w:sz w:val="22"/>
                <w:szCs w:val="22"/>
              </w:rPr>
            </w:pPr>
            <w:r>
              <w:rPr>
                <w:color w:val="000000"/>
                <w:kern w:val="0"/>
                <w:sz w:val="22"/>
                <w:szCs w:val="22"/>
              </w:rPr>
              <w:t>项目申请、设立过程是否符合相关要求，用以反映和考核项目立项的规范情况。</w:t>
            </w:r>
          </w:p>
        </w:tc>
        <w:tc>
          <w:tcPr>
            <w:tcW w:w="2048" w:type="pct"/>
            <w:shd w:val="clear" w:color="auto" w:fill="FFFFFF"/>
            <w:vAlign w:val="center"/>
          </w:tcPr>
          <w:p>
            <w:pPr>
              <w:widowControl/>
              <w:spacing w:line="0" w:lineRule="atLeast"/>
              <w:jc w:val="lef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①项目是否按照规定的程序申请设立；</w:t>
            </w:r>
            <w:r>
              <w:rPr>
                <w:color w:val="000000"/>
                <w:kern w:val="0"/>
                <w:sz w:val="22"/>
                <w:szCs w:val="22"/>
              </w:rPr>
              <w:br w:type="textWrapping"/>
            </w:r>
            <w:r>
              <w:rPr>
                <w:color w:val="000000"/>
                <w:kern w:val="0"/>
                <w:sz w:val="22"/>
                <w:szCs w:val="22"/>
              </w:rPr>
              <w:t>②审批文件、材料是否符合相关要求；</w:t>
            </w:r>
            <w:r>
              <w:rPr>
                <w:color w:val="000000"/>
                <w:kern w:val="0"/>
                <w:sz w:val="22"/>
                <w:szCs w:val="22"/>
              </w:rPr>
              <w:br w:type="textWrapping"/>
            </w:r>
            <w:r>
              <w:rPr>
                <w:color w:val="000000"/>
                <w:kern w:val="0"/>
                <w:sz w:val="22"/>
                <w:szCs w:val="22"/>
              </w:rPr>
              <w:t>③事前是否已经过必要的可行性研究、专家论证、风险评估、绩效评估、集体决策。</w:t>
            </w:r>
          </w:p>
        </w:tc>
        <w:tc>
          <w:tcPr>
            <w:tcW w:w="512"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3</w:t>
            </w:r>
          </w:p>
        </w:tc>
        <w:tc>
          <w:tcPr>
            <w:tcW w:w="537" w:type="pct"/>
            <w:shd w:val="clear" w:color="auto" w:fill="FFFFFF"/>
            <w:vAlign w:val="center"/>
          </w:tcPr>
          <w:p>
            <w:pPr>
              <w:widowControl/>
              <w:spacing w:line="0" w:lineRule="atLeast"/>
              <w:jc w:val="center"/>
              <w:rPr>
                <w:b/>
                <w:bCs/>
                <w:color w:val="000000"/>
                <w:kern w:val="0"/>
                <w:sz w:val="22"/>
                <w:szCs w:val="22"/>
              </w:rPr>
            </w:pPr>
            <w:r>
              <w:rPr>
                <w:rFonts w:hint="eastAsia"/>
                <w:b/>
                <w:bCs/>
                <w:color w:val="000000"/>
                <w:kern w:val="0"/>
                <w:sz w:val="22"/>
                <w:szCs w:val="22"/>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28" w:type="pct"/>
            <w:vMerge w:val="continue"/>
            <w:shd w:val="clear" w:color="auto" w:fill="FFFFFF"/>
            <w:vAlign w:val="center"/>
          </w:tcPr>
          <w:p>
            <w:pPr>
              <w:spacing w:line="0" w:lineRule="atLeast"/>
              <w:jc w:val="center"/>
              <w:rPr>
                <w:color w:val="000000"/>
                <w:kern w:val="0"/>
                <w:sz w:val="22"/>
                <w:szCs w:val="22"/>
              </w:rPr>
            </w:pPr>
          </w:p>
        </w:tc>
        <w:tc>
          <w:tcPr>
            <w:tcW w:w="301"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绩效目标　</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绩效目标</w:t>
            </w:r>
          </w:p>
          <w:p>
            <w:pPr>
              <w:widowControl/>
              <w:spacing w:line="0" w:lineRule="atLeast"/>
              <w:jc w:val="center"/>
              <w:rPr>
                <w:color w:val="000000"/>
                <w:kern w:val="0"/>
                <w:sz w:val="22"/>
                <w:szCs w:val="22"/>
              </w:rPr>
            </w:pPr>
            <w:r>
              <w:rPr>
                <w:color w:val="000000"/>
                <w:kern w:val="0"/>
                <w:sz w:val="22"/>
                <w:szCs w:val="22"/>
              </w:rPr>
              <w:t>合理性</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项目所设定的绩效目标是否依据充分，是否符合客观实际，用以反映和考核项目绩效目标与项目实施的相符情况。</w:t>
            </w:r>
          </w:p>
        </w:tc>
        <w:tc>
          <w:tcPr>
            <w:tcW w:w="2048" w:type="pct"/>
            <w:shd w:val="clear" w:color="000000" w:fill="FFFFFF"/>
            <w:vAlign w:val="center"/>
          </w:tcPr>
          <w:p>
            <w:pPr>
              <w:widowControl/>
              <w:spacing w:line="0" w:lineRule="atLeast"/>
              <w:jc w:val="lef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（如未设定预算绩效目标，也可考核其他工作任务目标）</w:t>
            </w:r>
            <w:r>
              <w:rPr>
                <w:color w:val="000000"/>
                <w:kern w:val="0"/>
                <w:sz w:val="22"/>
                <w:szCs w:val="22"/>
              </w:rPr>
              <w:br w:type="textWrapping"/>
            </w:r>
            <w:r>
              <w:rPr>
                <w:color w:val="000000"/>
                <w:kern w:val="0"/>
                <w:sz w:val="22"/>
                <w:szCs w:val="22"/>
              </w:rPr>
              <w:t>①项目是否有绩效目标；</w:t>
            </w:r>
            <w:r>
              <w:rPr>
                <w:color w:val="000000"/>
                <w:kern w:val="0"/>
                <w:sz w:val="22"/>
                <w:szCs w:val="22"/>
              </w:rPr>
              <w:br w:type="textWrapping"/>
            </w:r>
            <w:r>
              <w:rPr>
                <w:color w:val="000000"/>
                <w:kern w:val="0"/>
                <w:sz w:val="22"/>
                <w:szCs w:val="22"/>
              </w:rPr>
              <w:t>②项目绩效目标与实际工作内容是否具有相关性；</w:t>
            </w:r>
            <w:r>
              <w:rPr>
                <w:color w:val="000000"/>
                <w:kern w:val="0"/>
                <w:sz w:val="22"/>
                <w:szCs w:val="22"/>
              </w:rPr>
              <w:br w:type="textWrapping"/>
            </w:r>
            <w:r>
              <w:rPr>
                <w:color w:val="000000"/>
                <w:kern w:val="0"/>
                <w:sz w:val="22"/>
                <w:szCs w:val="22"/>
              </w:rPr>
              <w:t>③项目预期产出效益和效果是否符合正常的业绩水平；</w:t>
            </w:r>
          </w:p>
          <w:p>
            <w:pPr>
              <w:widowControl/>
              <w:spacing w:line="0" w:lineRule="atLeast"/>
              <w:jc w:val="left"/>
              <w:rPr>
                <w:color w:val="000000"/>
                <w:kern w:val="0"/>
                <w:sz w:val="22"/>
                <w:szCs w:val="22"/>
              </w:rPr>
            </w:pPr>
            <w:r>
              <w:rPr>
                <w:color w:val="000000"/>
                <w:kern w:val="0"/>
                <w:sz w:val="22"/>
                <w:szCs w:val="22"/>
              </w:rPr>
              <w:t>④是否与预算确定的项目投资额或资金量相匹配。</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3</w:t>
            </w:r>
          </w:p>
        </w:tc>
        <w:tc>
          <w:tcPr>
            <w:tcW w:w="537" w:type="pct"/>
            <w:shd w:val="clear" w:color="000000" w:fill="FFFFFF"/>
            <w:vAlign w:val="center"/>
          </w:tcPr>
          <w:p>
            <w:pPr>
              <w:widowControl/>
              <w:spacing w:line="0" w:lineRule="atLeast"/>
              <w:jc w:val="center"/>
              <w:rPr>
                <w:b/>
                <w:bCs/>
                <w:color w:val="000000"/>
                <w:kern w:val="0"/>
                <w:sz w:val="22"/>
                <w:szCs w:val="22"/>
              </w:rPr>
            </w:pPr>
            <w:r>
              <w:rPr>
                <w:rFonts w:hint="eastAsia"/>
                <w:b/>
                <w:bCs/>
                <w:color w:val="000000"/>
                <w:kern w:val="0"/>
                <w:sz w:val="22"/>
                <w:szCs w:val="22"/>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328" w:type="pct"/>
            <w:vMerge w:val="continue"/>
            <w:shd w:val="clear" w:color="auto" w:fill="FFFFFF"/>
            <w:vAlign w:val="center"/>
          </w:tcPr>
          <w:p>
            <w:pPr>
              <w:widowControl/>
              <w:spacing w:line="0" w:lineRule="atLeast"/>
              <w:jc w:val="center"/>
              <w:rPr>
                <w:color w:val="000000"/>
                <w:kern w:val="0"/>
                <w:sz w:val="22"/>
                <w:szCs w:val="22"/>
              </w:rPr>
            </w:pPr>
          </w:p>
        </w:tc>
        <w:tc>
          <w:tcPr>
            <w:tcW w:w="301" w:type="pct"/>
            <w:vMerge w:val="continue"/>
            <w:shd w:val="clear" w:color="auto" w:fill="FFFFFF"/>
            <w:vAlign w:val="center"/>
          </w:tcPr>
          <w:p>
            <w:pPr>
              <w:widowControl/>
              <w:spacing w:line="0" w:lineRule="atLeast"/>
              <w:jc w:val="center"/>
              <w:rPr>
                <w:color w:val="000000"/>
                <w:kern w:val="0"/>
                <w:sz w:val="22"/>
                <w:szCs w:val="22"/>
              </w:rPr>
            </w:pP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绩效指标</w:t>
            </w:r>
          </w:p>
          <w:p>
            <w:pPr>
              <w:widowControl/>
              <w:spacing w:line="0" w:lineRule="atLeast"/>
              <w:jc w:val="center"/>
              <w:rPr>
                <w:color w:val="000000"/>
                <w:kern w:val="0"/>
                <w:sz w:val="22"/>
                <w:szCs w:val="22"/>
              </w:rPr>
            </w:pPr>
            <w:r>
              <w:rPr>
                <w:color w:val="000000"/>
                <w:kern w:val="0"/>
                <w:sz w:val="22"/>
                <w:szCs w:val="22"/>
              </w:rPr>
              <w:t>明确性</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依据绩效目标设定的绩效指标是否清晰、细化、可衡量等，用以反映和考核项目绩效目标的明细化情况。</w:t>
            </w:r>
          </w:p>
        </w:tc>
        <w:tc>
          <w:tcPr>
            <w:tcW w:w="2048" w:type="pct"/>
            <w:shd w:val="clear" w:color="000000" w:fill="FFFFFF"/>
            <w:vAlign w:val="center"/>
          </w:tcPr>
          <w:p>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①是否将项目绩效目标细化分解为具体的绩效指标；</w:t>
            </w:r>
            <w:r>
              <w:rPr>
                <w:color w:val="000000"/>
                <w:kern w:val="0"/>
                <w:sz w:val="22"/>
                <w:szCs w:val="22"/>
              </w:rPr>
              <w:br w:type="textWrapping"/>
            </w:r>
            <w:r>
              <w:rPr>
                <w:color w:val="000000"/>
                <w:kern w:val="0"/>
                <w:sz w:val="22"/>
                <w:szCs w:val="22"/>
              </w:rPr>
              <w:t>②是否通过清晰、可衡量的指标值予以体现；</w:t>
            </w:r>
            <w:r>
              <w:rPr>
                <w:color w:val="000000"/>
                <w:kern w:val="0"/>
                <w:sz w:val="22"/>
                <w:szCs w:val="22"/>
              </w:rPr>
              <w:br w:type="textWrapping"/>
            </w:r>
            <w:r>
              <w:rPr>
                <w:color w:val="000000"/>
                <w:kern w:val="0"/>
                <w:sz w:val="22"/>
                <w:szCs w:val="22"/>
              </w:rPr>
              <w:t>③是否与项目目标任务数或计划数相对应。</w:t>
            </w:r>
            <w:r>
              <w:rPr>
                <w:color w:val="000000"/>
                <w:kern w:val="0"/>
                <w:sz w:val="22"/>
                <w:szCs w:val="22"/>
              </w:rPr>
              <w:br w:type="textWrapping"/>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3</w:t>
            </w:r>
          </w:p>
        </w:tc>
        <w:tc>
          <w:tcPr>
            <w:tcW w:w="537" w:type="pct"/>
            <w:shd w:val="clear" w:color="000000" w:fill="FFFFFF"/>
            <w:vAlign w:val="center"/>
          </w:tcPr>
          <w:p>
            <w:pPr>
              <w:widowControl/>
              <w:spacing w:line="0" w:lineRule="atLeast"/>
              <w:jc w:val="center"/>
              <w:rPr>
                <w:b/>
                <w:bCs/>
                <w:color w:val="000000"/>
                <w:kern w:val="0"/>
                <w:sz w:val="22"/>
                <w:szCs w:val="22"/>
              </w:rPr>
            </w:pPr>
            <w:r>
              <w:rPr>
                <w:rFonts w:hint="eastAsia"/>
                <w:b/>
                <w:bCs/>
                <w:color w:val="000000"/>
                <w:kern w:val="0"/>
                <w:sz w:val="22"/>
                <w:szCs w:val="22"/>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328" w:type="pct"/>
            <w:vMerge w:val="continue"/>
            <w:shd w:val="clear" w:color="auto" w:fill="FFFFFF"/>
            <w:vAlign w:val="center"/>
          </w:tcPr>
          <w:p>
            <w:pPr>
              <w:spacing w:line="0" w:lineRule="atLeast"/>
              <w:jc w:val="center"/>
              <w:rPr>
                <w:color w:val="000000"/>
                <w:kern w:val="0"/>
                <w:sz w:val="22"/>
                <w:szCs w:val="22"/>
              </w:rPr>
            </w:pPr>
          </w:p>
        </w:tc>
        <w:tc>
          <w:tcPr>
            <w:tcW w:w="301"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资金投入</w:t>
            </w:r>
          </w:p>
          <w:p>
            <w:pPr>
              <w:spacing w:line="0" w:lineRule="atLeast"/>
              <w:jc w:val="center"/>
              <w:rPr>
                <w:color w:val="000000"/>
                <w:kern w:val="0"/>
                <w:sz w:val="22"/>
                <w:szCs w:val="22"/>
              </w:rPr>
            </w:pPr>
            <w:r>
              <w:rPr>
                <w:color w:val="000000"/>
                <w:kern w:val="0"/>
                <w:sz w:val="22"/>
                <w:szCs w:val="22"/>
              </w:rPr>
              <w:t>　</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预算编制</w:t>
            </w:r>
          </w:p>
          <w:p>
            <w:pPr>
              <w:widowControl/>
              <w:spacing w:line="0" w:lineRule="atLeast"/>
              <w:jc w:val="center"/>
              <w:rPr>
                <w:color w:val="000000"/>
                <w:kern w:val="0"/>
                <w:sz w:val="22"/>
                <w:szCs w:val="22"/>
              </w:rPr>
            </w:pPr>
            <w:r>
              <w:rPr>
                <w:color w:val="000000"/>
                <w:kern w:val="0"/>
                <w:sz w:val="22"/>
                <w:szCs w:val="22"/>
              </w:rPr>
              <w:t>科学性</w:t>
            </w:r>
          </w:p>
        </w:tc>
        <w:tc>
          <w:tcPr>
            <w:tcW w:w="927" w:type="pct"/>
            <w:shd w:val="clear" w:color="auto" w:fill="FFFFFF"/>
            <w:vAlign w:val="center"/>
          </w:tcPr>
          <w:p>
            <w:pPr>
              <w:widowControl/>
              <w:spacing w:line="0" w:lineRule="atLeast"/>
              <w:rPr>
                <w:color w:val="000000"/>
                <w:kern w:val="0"/>
                <w:sz w:val="22"/>
                <w:szCs w:val="22"/>
              </w:rPr>
            </w:pPr>
            <w:r>
              <w:rPr>
                <w:color w:val="000000"/>
                <w:kern w:val="0"/>
                <w:sz w:val="22"/>
                <w:szCs w:val="22"/>
              </w:rPr>
              <w:t>项目预算编制是否经过科学论证、有明确标准，资金额度与年度目标是否相适应，用以反映和考核项目预算编制的科学性、合理性情况。</w:t>
            </w:r>
          </w:p>
        </w:tc>
        <w:tc>
          <w:tcPr>
            <w:tcW w:w="2048" w:type="pct"/>
            <w:shd w:val="clear" w:color="auto" w:fill="FFFFFF"/>
            <w:vAlign w:val="center"/>
          </w:tcPr>
          <w:p>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①预算编制是否经过科学论证；</w:t>
            </w:r>
            <w:r>
              <w:rPr>
                <w:color w:val="000000"/>
                <w:kern w:val="0"/>
                <w:sz w:val="22"/>
                <w:szCs w:val="22"/>
              </w:rPr>
              <w:br w:type="textWrapping"/>
            </w:r>
            <w:r>
              <w:rPr>
                <w:color w:val="000000"/>
                <w:kern w:val="0"/>
                <w:sz w:val="22"/>
                <w:szCs w:val="22"/>
              </w:rPr>
              <w:t>②预算内容与项目内容是否匹配；</w:t>
            </w:r>
            <w:r>
              <w:rPr>
                <w:color w:val="000000"/>
                <w:kern w:val="0"/>
                <w:sz w:val="22"/>
                <w:szCs w:val="22"/>
              </w:rPr>
              <w:br w:type="textWrapping"/>
            </w:r>
            <w:r>
              <w:rPr>
                <w:color w:val="000000"/>
                <w:kern w:val="0"/>
                <w:sz w:val="22"/>
                <w:szCs w:val="22"/>
              </w:rPr>
              <w:t>③预算额度测算依据是否充分，是否按照标准编制；</w:t>
            </w:r>
            <w:r>
              <w:rPr>
                <w:color w:val="000000"/>
                <w:kern w:val="0"/>
                <w:sz w:val="22"/>
                <w:szCs w:val="22"/>
              </w:rPr>
              <w:br w:type="textWrapping"/>
            </w:r>
            <w:r>
              <w:rPr>
                <w:color w:val="000000"/>
                <w:kern w:val="0"/>
                <w:sz w:val="22"/>
                <w:szCs w:val="22"/>
              </w:rPr>
              <w:t>④预算确定的项目投资额或资金量是否与工作任务相匹配。</w:t>
            </w:r>
          </w:p>
        </w:tc>
        <w:tc>
          <w:tcPr>
            <w:tcW w:w="512"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537" w:type="pct"/>
            <w:shd w:val="clear" w:color="auto" w:fill="FFFFFF"/>
            <w:vAlign w:val="center"/>
          </w:tcPr>
          <w:p>
            <w:pPr>
              <w:widowControl/>
              <w:spacing w:line="0" w:lineRule="atLeast"/>
              <w:jc w:val="center"/>
              <w:rPr>
                <w:b/>
                <w:bCs/>
                <w:color w:val="000000"/>
                <w:kern w:val="0"/>
                <w:sz w:val="22"/>
                <w:szCs w:val="22"/>
              </w:rPr>
            </w:pPr>
            <w:r>
              <w:rPr>
                <w:rFonts w:hint="eastAsia"/>
                <w:b/>
                <w:bCs/>
                <w:color w:val="000000"/>
                <w:kern w:val="0"/>
                <w:sz w:val="22"/>
                <w:szCs w:val="22"/>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328" w:type="pct"/>
            <w:vMerge w:val="continue"/>
            <w:shd w:val="clear" w:color="auto" w:fill="FFFFFF"/>
            <w:vAlign w:val="center"/>
          </w:tcPr>
          <w:p>
            <w:pPr>
              <w:widowControl/>
              <w:spacing w:line="0" w:lineRule="atLeast"/>
              <w:jc w:val="center"/>
              <w:rPr>
                <w:color w:val="000000"/>
                <w:kern w:val="0"/>
                <w:sz w:val="22"/>
                <w:szCs w:val="22"/>
              </w:rPr>
            </w:pPr>
          </w:p>
        </w:tc>
        <w:tc>
          <w:tcPr>
            <w:tcW w:w="301" w:type="pct"/>
            <w:vMerge w:val="continue"/>
            <w:shd w:val="clear" w:color="auto" w:fill="FFFFFF"/>
            <w:vAlign w:val="center"/>
          </w:tcPr>
          <w:p>
            <w:pPr>
              <w:widowControl/>
              <w:spacing w:line="0" w:lineRule="atLeast"/>
              <w:jc w:val="center"/>
              <w:rPr>
                <w:color w:val="000000"/>
                <w:kern w:val="0"/>
                <w:sz w:val="22"/>
                <w:szCs w:val="22"/>
              </w:rPr>
            </w:pP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资金分配</w:t>
            </w:r>
          </w:p>
          <w:p>
            <w:pPr>
              <w:widowControl/>
              <w:spacing w:line="0" w:lineRule="atLeast"/>
              <w:jc w:val="center"/>
              <w:rPr>
                <w:color w:val="000000"/>
                <w:kern w:val="0"/>
                <w:sz w:val="22"/>
                <w:szCs w:val="22"/>
              </w:rPr>
            </w:pPr>
            <w:r>
              <w:rPr>
                <w:color w:val="000000"/>
                <w:kern w:val="0"/>
                <w:sz w:val="22"/>
                <w:szCs w:val="22"/>
              </w:rPr>
              <w:t>合理性</w:t>
            </w:r>
          </w:p>
        </w:tc>
        <w:tc>
          <w:tcPr>
            <w:tcW w:w="927" w:type="pct"/>
            <w:shd w:val="clear" w:color="auto" w:fill="FFFFFF"/>
            <w:vAlign w:val="center"/>
          </w:tcPr>
          <w:p>
            <w:pPr>
              <w:widowControl/>
              <w:spacing w:line="0" w:lineRule="atLeast"/>
              <w:rPr>
                <w:color w:val="000000"/>
                <w:kern w:val="0"/>
                <w:sz w:val="22"/>
                <w:szCs w:val="22"/>
              </w:rPr>
            </w:pPr>
            <w:r>
              <w:rPr>
                <w:color w:val="000000"/>
                <w:kern w:val="0"/>
                <w:sz w:val="22"/>
                <w:szCs w:val="22"/>
              </w:rPr>
              <w:t>项目预算资金分配是否有测算依据，与补助单位或地方实际是否相适应，用以反映和考核项目预算资金分配的科学性、合理性情况。</w:t>
            </w:r>
          </w:p>
        </w:tc>
        <w:tc>
          <w:tcPr>
            <w:tcW w:w="2048" w:type="pct"/>
            <w:shd w:val="clear" w:color="auto" w:fill="FFFFFF"/>
            <w:vAlign w:val="center"/>
          </w:tcPr>
          <w:p>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①预算资金分配依据是否充分；</w:t>
            </w:r>
            <w:r>
              <w:rPr>
                <w:color w:val="000000"/>
                <w:kern w:val="0"/>
                <w:sz w:val="22"/>
                <w:szCs w:val="22"/>
              </w:rPr>
              <w:br w:type="textWrapping"/>
            </w:r>
            <w:r>
              <w:rPr>
                <w:color w:val="000000"/>
                <w:kern w:val="0"/>
                <w:sz w:val="22"/>
                <w:szCs w:val="22"/>
              </w:rPr>
              <w:t>②资金分配额度是否合理，与项目单位或地方实际是否相适应。</w:t>
            </w:r>
          </w:p>
        </w:tc>
        <w:tc>
          <w:tcPr>
            <w:tcW w:w="512"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537" w:type="pct"/>
            <w:shd w:val="clear" w:color="auto" w:fill="FFFFFF"/>
            <w:vAlign w:val="center"/>
          </w:tcPr>
          <w:p>
            <w:pPr>
              <w:widowControl/>
              <w:spacing w:line="0" w:lineRule="atLeast"/>
              <w:jc w:val="center"/>
              <w:rPr>
                <w:b/>
                <w:bCs/>
                <w:color w:val="000000"/>
                <w:kern w:val="0"/>
                <w:sz w:val="22"/>
                <w:szCs w:val="22"/>
              </w:rPr>
            </w:pPr>
            <w:r>
              <w:rPr>
                <w:rFonts w:hint="eastAsia"/>
                <w:b/>
                <w:bCs/>
                <w:color w:val="000000"/>
                <w:kern w:val="0"/>
                <w:sz w:val="22"/>
                <w:szCs w:val="22"/>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328" w:type="pct"/>
            <w:vMerge w:val="restart"/>
            <w:shd w:val="clear" w:color="auto" w:fill="FFFFFF"/>
            <w:vAlign w:val="center"/>
          </w:tcPr>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r>
              <w:rPr>
                <w:color w:val="000000"/>
                <w:kern w:val="0"/>
                <w:sz w:val="22"/>
                <w:szCs w:val="22"/>
              </w:rPr>
              <w:t>过程</w:t>
            </w:r>
          </w:p>
          <w:p>
            <w:pPr>
              <w:widowControl/>
              <w:spacing w:line="0" w:lineRule="atLeast"/>
              <w:jc w:val="center"/>
              <w:rPr>
                <w:color w:val="000000"/>
                <w:kern w:val="0"/>
                <w:sz w:val="22"/>
                <w:szCs w:val="22"/>
              </w:rPr>
            </w:pPr>
            <w:r>
              <w:rPr>
                <w:color w:val="000000"/>
                <w:kern w:val="0"/>
                <w:sz w:val="22"/>
                <w:szCs w:val="22"/>
              </w:rPr>
              <w:t>　　</w:t>
            </w:r>
          </w:p>
        </w:tc>
        <w:tc>
          <w:tcPr>
            <w:tcW w:w="301"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资金管理</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资金到位率</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实际到位资金与预算资金的比率，用以反映和考核资金落实情况对项目实施的总体保障程度。</w:t>
            </w:r>
          </w:p>
        </w:tc>
        <w:tc>
          <w:tcPr>
            <w:tcW w:w="2048" w:type="pct"/>
            <w:shd w:val="clear" w:color="000000" w:fill="FFFFFF"/>
            <w:vAlign w:val="center"/>
          </w:tcPr>
          <w:p>
            <w:pPr>
              <w:widowControl/>
              <w:spacing w:line="0" w:lineRule="atLeast"/>
              <w:rPr>
                <w:color w:val="000000"/>
                <w:kern w:val="0"/>
                <w:sz w:val="22"/>
                <w:szCs w:val="22"/>
              </w:rPr>
            </w:pPr>
            <w:r>
              <w:rPr>
                <w:color w:val="000000"/>
                <w:kern w:val="0"/>
                <w:sz w:val="22"/>
                <w:szCs w:val="22"/>
              </w:rPr>
              <w:t>资金到位率=（实际到位资金/预算资金）×100%。</w:t>
            </w:r>
          </w:p>
          <w:p>
            <w:pPr>
              <w:widowControl/>
              <w:spacing w:line="0" w:lineRule="atLeast"/>
              <w:rPr>
                <w:color w:val="000000"/>
                <w:kern w:val="0"/>
                <w:sz w:val="22"/>
                <w:szCs w:val="22"/>
              </w:rPr>
            </w:pPr>
            <w:r>
              <w:rPr>
                <w:color w:val="000000"/>
                <w:kern w:val="0"/>
                <w:sz w:val="22"/>
                <w:szCs w:val="22"/>
              </w:rPr>
              <w:t>实际到位资金：一定时期（本年度或项目期）内落实到具体项目的资金。</w:t>
            </w:r>
          </w:p>
          <w:p>
            <w:pPr>
              <w:widowControl/>
              <w:spacing w:line="0" w:lineRule="atLeast"/>
              <w:rPr>
                <w:color w:val="000000"/>
                <w:kern w:val="0"/>
                <w:sz w:val="22"/>
                <w:szCs w:val="22"/>
              </w:rPr>
            </w:pPr>
            <w:r>
              <w:rPr>
                <w:color w:val="000000"/>
                <w:kern w:val="0"/>
                <w:sz w:val="22"/>
                <w:szCs w:val="22"/>
              </w:rPr>
              <w:t>预算资金：一定时期（本年度或项目期）内预算安排到具体项目的资金。</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537" w:type="pct"/>
            <w:shd w:val="clear" w:color="000000" w:fill="FFFFFF"/>
            <w:vAlign w:val="center"/>
          </w:tcPr>
          <w:p>
            <w:pPr>
              <w:widowControl/>
              <w:spacing w:line="0" w:lineRule="atLeast"/>
              <w:jc w:val="center"/>
              <w:rPr>
                <w:b/>
                <w:bCs/>
                <w:color w:val="000000"/>
                <w:kern w:val="0"/>
                <w:sz w:val="22"/>
                <w:szCs w:val="22"/>
              </w:rPr>
            </w:pPr>
            <w:r>
              <w:rPr>
                <w:rFonts w:hint="eastAsia"/>
                <w:b/>
                <w:bCs/>
                <w:color w:val="000000"/>
                <w:kern w:val="0"/>
                <w:sz w:val="22"/>
                <w:szCs w:val="22"/>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328" w:type="pct"/>
            <w:vMerge w:val="continue"/>
            <w:shd w:val="clear" w:color="auto" w:fill="FFFFFF"/>
            <w:vAlign w:val="center"/>
          </w:tcPr>
          <w:p>
            <w:pPr>
              <w:spacing w:line="0" w:lineRule="atLeast"/>
              <w:jc w:val="center"/>
              <w:rPr>
                <w:color w:val="000000"/>
                <w:kern w:val="0"/>
                <w:sz w:val="22"/>
                <w:szCs w:val="22"/>
              </w:rPr>
            </w:pPr>
          </w:p>
        </w:tc>
        <w:tc>
          <w:tcPr>
            <w:tcW w:w="301" w:type="pct"/>
            <w:vMerge w:val="continue"/>
            <w:shd w:val="clear" w:color="auto" w:fill="FFFFFF"/>
            <w:vAlign w:val="center"/>
          </w:tcPr>
          <w:p>
            <w:pPr>
              <w:spacing w:line="0" w:lineRule="atLeast"/>
              <w:jc w:val="center"/>
              <w:rPr>
                <w:color w:val="000000"/>
                <w:kern w:val="0"/>
                <w:sz w:val="22"/>
                <w:szCs w:val="22"/>
              </w:rPr>
            </w:pP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预算执行率</w:t>
            </w:r>
          </w:p>
        </w:tc>
        <w:tc>
          <w:tcPr>
            <w:tcW w:w="927" w:type="pct"/>
            <w:shd w:val="clear" w:color="auto" w:fill="FFFFFF"/>
            <w:vAlign w:val="center"/>
          </w:tcPr>
          <w:p>
            <w:pPr>
              <w:widowControl/>
              <w:spacing w:line="0" w:lineRule="atLeast"/>
              <w:rPr>
                <w:color w:val="000000"/>
                <w:kern w:val="0"/>
                <w:sz w:val="22"/>
                <w:szCs w:val="22"/>
              </w:rPr>
            </w:pPr>
            <w:r>
              <w:rPr>
                <w:color w:val="000000"/>
                <w:kern w:val="0"/>
                <w:sz w:val="22"/>
                <w:szCs w:val="22"/>
              </w:rPr>
              <w:t>项目预算资金是否按照计划执行，用以反映或考核项目预算执行情况。</w:t>
            </w:r>
          </w:p>
        </w:tc>
        <w:tc>
          <w:tcPr>
            <w:tcW w:w="2048" w:type="pct"/>
            <w:shd w:val="clear" w:color="auto" w:fill="FFFFFF"/>
            <w:vAlign w:val="center"/>
          </w:tcPr>
          <w:p>
            <w:pPr>
              <w:widowControl/>
              <w:spacing w:line="0" w:lineRule="atLeast"/>
              <w:rPr>
                <w:color w:val="000000"/>
                <w:kern w:val="0"/>
                <w:sz w:val="22"/>
                <w:szCs w:val="22"/>
              </w:rPr>
            </w:pPr>
            <w:r>
              <w:rPr>
                <w:color w:val="000000"/>
                <w:kern w:val="0"/>
                <w:sz w:val="22"/>
                <w:szCs w:val="22"/>
              </w:rPr>
              <w:t>预算执行率=（实际支出资金/实际到位资金）×100%。</w:t>
            </w:r>
            <w:r>
              <w:rPr>
                <w:color w:val="000000"/>
                <w:kern w:val="0"/>
                <w:sz w:val="22"/>
                <w:szCs w:val="22"/>
              </w:rPr>
              <w:br w:type="textWrapping"/>
            </w:r>
            <w:r>
              <w:rPr>
                <w:color w:val="000000"/>
                <w:kern w:val="0"/>
                <w:sz w:val="22"/>
                <w:szCs w:val="22"/>
              </w:rPr>
              <w:t>实际支出资金：一定时期（本年度或项目期）内项目实际拨付的资金。</w:t>
            </w:r>
          </w:p>
        </w:tc>
        <w:tc>
          <w:tcPr>
            <w:tcW w:w="512"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537" w:type="pct"/>
            <w:shd w:val="clear" w:color="auto" w:fill="FFFFFF"/>
            <w:vAlign w:val="center"/>
          </w:tcPr>
          <w:p>
            <w:pPr>
              <w:widowControl/>
              <w:spacing w:line="0" w:lineRule="atLeast"/>
              <w:jc w:val="center"/>
              <w:rPr>
                <w:b/>
                <w:bCs/>
                <w:color w:val="000000"/>
                <w:kern w:val="0"/>
                <w:sz w:val="22"/>
                <w:szCs w:val="22"/>
              </w:rPr>
            </w:pPr>
            <w:r>
              <w:rPr>
                <w:rFonts w:hint="eastAsia"/>
                <w:b/>
                <w:bCs/>
                <w:color w:val="000000"/>
                <w:kern w:val="0"/>
                <w:sz w:val="22"/>
                <w:szCs w:val="22"/>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328" w:type="pct"/>
            <w:vMerge w:val="continue"/>
            <w:shd w:val="clear" w:color="auto" w:fill="FFFFFF"/>
            <w:vAlign w:val="center"/>
          </w:tcPr>
          <w:p>
            <w:pPr>
              <w:spacing w:line="0" w:lineRule="atLeast"/>
              <w:jc w:val="center"/>
              <w:rPr>
                <w:color w:val="000000"/>
                <w:kern w:val="0"/>
                <w:sz w:val="22"/>
                <w:szCs w:val="22"/>
              </w:rPr>
            </w:pPr>
          </w:p>
        </w:tc>
        <w:tc>
          <w:tcPr>
            <w:tcW w:w="301"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资金管理</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资金使用</w:t>
            </w:r>
          </w:p>
          <w:p>
            <w:pPr>
              <w:widowControl/>
              <w:spacing w:line="0" w:lineRule="atLeast"/>
              <w:jc w:val="center"/>
              <w:rPr>
                <w:color w:val="000000"/>
                <w:kern w:val="0"/>
                <w:sz w:val="22"/>
                <w:szCs w:val="22"/>
              </w:rPr>
            </w:pPr>
            <w:r>
              <w:rPr>
                <w:color w:val="000000"/>
                <w:kern w:val="0"/>
                <w:sz w:val="22"/>
                <w:szCs w:val="22"/>
              </w:rPr>
              <w:t>合规性</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项目资金使用是否符合相关的财务管理制度规定，用以反映和考核项目资金的规范运行情况。</w:t>
            </w:r>
          </w:p>
        </w:tc>
        <w:tc>
          <w:tcPr>
            <w:tcW w:w="2048" w:type="pct"/>
            <w:shd w:val="clear" w:color="000000" w:fill="FFFFFF"/>
            <w:vAlign w:val="center"/>
          </w:tcPr>
          <w:p>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①是否符合国家财经法规和财务管理制度以及有关专项资金管理办法的规定；</w:t>
            </w:r>
            <w:r>
              <w:rPr>
                <w:color w:val="000000"/>
                <w:kern w:val="0"/>
                <w:sz w:val="22"/>
                <w:szCs w:val="22"/>
              </w:rPr>
              <w:br w:type="textWrapping"/>
            </w:r>
            <w:r>
              <w:rPr>
                <w:color w:val="000000"/>
                <w:kern w:val="0"/>
                <w:sz w:val="22"/>
                <w:szCs w:val="22"/>
              </w:rPr>
              <w:t>②资金的拨付是否有完整的审批程序和手续；</w:t>
            </w:r>
            <w:r>
              <w:rPr>
                <w:color w:val="000000"/>
                <w:kern w:val="0"/>
                <w:sz w:val="22"/>
                <w:szCs w:val="22"/>
              </w:rPr>
              <w:br w:type="textWrapping"/>
            </w:r>
            <w:r>
              <w:rPr>
                <w:color w:val="000000"/>
                <w:kern w:val="0"/>
                <w:sz w:val="22"/>
                <w:szCs w:val="22"/>
              </w:rPr>
              <w:t>③是否符合项目预算批复或合同规定的用途；</w:t>
            </w:r>
            <w:r>
              <w:rPr>
                <w:color w:val="000000"/>
                <w:kern w:val="0"/>
                <w:sz w:val="22"/>
                <w:szCs w:val="22"/>
              </w:rPr>
              <w:br w:type="textWrapping"/>
            </w:r>
            <w:r>
              <w:rPr>
                <w:color w:val="000000"/>
                <w:kern w:val="0"/>
                <w:sz w:val="22"/>
                <w:szCs w:val="22"/>
              </w:rPr>
              <w:t>④是否存在截留、挤占、挪用、虚列支出等情况。</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537" w:type="pct"/>
            <w:shd w:val="clear" w:color="000000" w:fill="FFFFFF"/>
            <w:vAlign w:val="center"/>
          </w:tcPr>
          <w:p>
            <w:pPr>
              <w:widowControl/>
              <w:spacing w:line="0" w:lineRule="atLeast"/>
              <w:jc w:val="center"/>
              <w:rPr>
                <w:b/>
                <w:bCs/>
                <w:color w:val="000000"/>
                <w:kern w:val="0"/>
                <w:sz w:val="22"/>
                <w:szCs w:val="22"/>
              </w:rPr>
            </w:pPr>
            <w:r>
              <w:rPr>
                <w:rFonts w:hint="eastAsia"/>
                <w:b/>
                <w:bCs/>
                <w:color w:val="000000"/>
                <w:kern w:val="0"/>
                <w:sz w:val="22"/>
                <w:szCs w:val="22"/>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328" w:type="pct"/>
            <w:vMerge w:val="continue"/>
            <w:shd w:val="clear" w:color="auto" w:fill="FFFFFF"/>
            <w:vAlign w:val="center"/>
          </w:tcPr>
          <w:p>
            <w:pPr>
              <w:spacing w:line="0" w:lineRule="atLeast"/>
              <w:jc w:val="center"/>
              <w:rPr>
                <w:color w:val="000000"/>
                <w:kern w:val="0"/>
                <w:sz w:val="22"/>
                <w:szCs w:val="22"/>
              </w:rPr>
            </w:pPr>
          </w:p>
        </w:tc>
        <w:tc>
          <w:tcPr>
            <w:tcW w:w="301"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组织实施</w:t>
            </w:r>
          </w:p>
          <w:p>
            <w:pPr>
              <w:spacing w:line="0" w:lineRule="atLeast"/>
              <w:jc w:val="center"/>
              <w:rPr>
                <w:color w:val="000000"/>
                <w:kern w:val="0"/>
                <w:sz w:val="22"/>
                <w:szCs w:val="22"/>
              </w:rPr>
            </w:pPr>
            <w:r>
              <w:rPr>
                <w:color w:val="000000"/>
                <w:kern w:val="0"/>
                <w:sz w:val="22"/>
                <w:szCs w:val="22"/>
              </w:rPr>
              <w:t>　</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管理制度</w:t>
            </w:r>
          </w:p>
          <w:p>
            <w:pPr>
              <w:widowControl/>
              <w:spacing w:line="0" w:lineRule="atLeast"/>
              <w:jc w:val="center"/>
              <w:rPr>
                <w:color w:val="000000"/>
                <w:kern w:val="0"/>
                <w:sz w:val="22"/>
                <w:szCs w:val="22"/>
              </w:rPr>
            </w:pPr>
            <w:r>
              <w:rPr>
                <w:color w:val="000000"/>
                <w:kern w:val="0"/>
                <w:sz w:val="22"/>
                <w:szCs w:val="22"/>
              </w:rPr>
              <w:t>健全性</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项目实施单位的财务和业务管理制度是否健全，用以反映和考核财务和业务管理制度对项目顺利实施的保障情况。</w:t>
            </w:r>
          </w:p>
        </w:tc>
        <w:tc>
          <w:tcPr>
            <w:tcW w:w="2048" w:type="pct"/>
            <w:shd w:val="clear" w:color="000000" w:fill="FFFFFF"/>
            <w:vAlign w:val="center"/>
          </w:tcPr>
          <w:p>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①是否已制定或具有相应的财务和业务管理制度；</w:t>
            </w:r>
            <w:r>
              <w:rPr>
                <w:color w:val="000000"/>
                <w:kern w:val="0"/>
                <w:sz w:val="22"/>
                <w:szCs w:val="22"/>
              </w:rPr>
              <w:br w:type="textWrapping"/>
            </w:r>
            <w:r>
              <w:rPr>
                <w:color w:val="000000"/>
                <w:kern w:val="0"/>
                <w:sz w:val="22"/>
                <w:szCs w:val="22"/>
              </w:rPr>
              <w:t>②财务和业务管理制度是否合法、合规、完整。</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537" w:type="pct"/>
            <w:shd w:val="clear" w:color="000000" w:fill="FFFFFF"/>
            <w:vAlign w:val="center"/>
          </w:tcPr>
          <w:p>
            <w:pPr>
              <w:widowControl/>
              <w:spacing w:line="0" w:lineRule="atLeast"/>
              <w:jc w:val="center"/>
              <w:rPr>
                <w:b/>
                <w:bCs/>
                <w:color w:val="000000"/>
                <w:kern w:val="0"/>
                <w:sz w:val="22"/>
                <w:szCs w:val="22"/>
              </w:rPr>
            </w:pPr>
            <w:r>
              <w:rPr>
                <w:rFonts w:hint="eastAsia"/>
                <w:b/>
                <w:bCs/>
                <w:color w:val="000000"/>
                <w:kern w:val="0"/>
                <w:sz w:val="22"/>
                <w:szCs w:val="22"/>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328" w:type="pct"/>
            <w:vMerge w:val="continue"/>
            <w:shd w:val="clear" w:color="auto" w:fill="FFFFFF"/>
            <w:vAlign w:val="center"/>
          </w:tcPr>
          <w:p>
            <w:pPr>
              <w:widowControl/>
              <w:spacing w:line="0" w:lineRule="atLeast"/>
              <w:jc w:val="center"/>
              <w:rPr>
                <w:color w:val="000000"/>
                <w:kern w:val="0"/>
                <w:sz w:val="22"/>
                <w:szCs w:val="22"/>
              </w:rPr>
            </w:pPr>
          </w:p>
        </w:tc>
        <w:tc>
          <w:tcPr>
            <w:tcW w:w="301" w:type="pct"/>
            <w:vMerge w:val="continue"/>
            <w:shd w:val="clear" w:color="auto" w:fill="FFFFFF"/>
            <w:vAlign w:val="center"/>
          </w:tcPr>
          <w:p>
            <w:pPr>
              <w:widowControl/>
              <w:spacing w:line="0" w:lineRule="atLeast"/>
              <w:jc w:val="center"/>
              <w:rPr>
                <w:color w:val="000000"/>
                <w:kern w:val="0"/>
                <w:sz w:val="22"/>
                <w:szCs w:val="22"/>
              </w:rPr>
            </w:pP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制度执行</w:t>
            </w:r>
          </w:p>
          <w:p>
            <w:pPr>
              <w:widowControl/>
              <w:spacing w:line="0" w:lineRule="atLeast"/>
              <w:jc w:val="center"/>
              <w:rPr>
                <w:color w:val="000000"/>
                <w:kern w:val="0"/>
                <w:sz w:val="22"/>
                <w:szCs w:val="22"/>
              </w:rPr>
            </w:pPr>
            <w:r>
              <w:rPr>
                <w:color w:val="000000"/>
                <w:kern w:val="0"/>
                <w:sz w:val="22"/>
                <w:szCs w:val="22"/>
              </w:rPr>
              <w:t>有效性</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项目实施是否符合相关管理规定，用以反映和考核相关管理制度的有效执行情况。</w:t>
            </w:r>
          </w:p>
        </w:tc>
        <w:tc>
          <w:tcPr>
            <w:tcW w:w="2048" w:type="pct"/>
            <w:shd w:val="clear" w:color="000000" w:fill="FFFFFF"/>
            <w:vAlign w:val="center"/>
          </w:tcPr>
          <w:p>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①是否遵守相关法律法规和相关管理规定；</w:t>
            </w:r>
            <w:r>
              <w:rPr>
                <w:color w:val="000000"/>
                <w:kern w:val="0"/>
                <w:sz w:val="22"/>
                <w:szCs w:val="22"/>
              </w:rPr>
              <w:br w:type="textWrapping"/>
            </w:r>
            <w:r>
              <w:rPr>
                <w:color w:val="000000"/>
                <w:kern w:val="0"/>
                <w:sz w:val="22"/>
                <w:szCs w:val="22"/>
              </w:rPr>
              <w:t>②项目调整及支出调整手续是否完备；</w:t>
            </w:r>
            <w:r>
              <w:rPr>
                <w:color w:val="000000"/>
                <w:kern w:val="0"/>
                <w:sz w:val="22"/>
                <w:szCs w:val="22"/>
              </w:rPr>
              <w:br w:type="textWrapping"/>
            </w:r>
            <w:r>
              <w:rPr>
                <w:color w:val="000000"/>
                <w:kern w:val="0"/>
                <w:sz w:val="22"/>
                <w:szCs w:val="22"/>
              </w:rPr>
              <w:t>③项目合同书、验收报告、技术鉴定等资料是否齐全并及时归档；</w:t>
            </w:r>
            <w:r>
              <w:rPr>
                <w:color w:val="000000"/>
                <w:kern w:val="0"/>
                <w:sz w:val="22"/>
                <w:szCs w:val="22"/>
              </w:rPr>
              <w:br w:type="textWrapping"/>
            </w:r>
            <w:r>
              <w:rPr>
                <w:color w:val="000000"/>
                <w:kern w:val="0"/>
                <w:sz w:val="22"/>
                <w:szCs w:val="22"/>
              </w:rPr>
              <w:t>④项目实施的人员条件、场地设备、信息支撑等是否落实到位。</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537" w:type="pct"/>
            <w:shd w:val="clear" w:color="000000" w:fill="FFFFFF"/>
            <w:vAlign w:val="center"/>
          </w:tcPr>
          <w:p>
            <w:pPr>
              <w:widowControl/>
              <w:spacing w:line="0" w:lineRule="atLeast"/>
              <w:jc w:val="center"/>
              <w:rPr>
                <w:b/>
                <w:bCs/>
                <w:color w:val="000000"/>
                <w:kern w:val="0"/>
                <w:sz w:val="22"/>
                <w:szCs w:val="22"/>
              </w:rPr>
            </w:pPr>
            <w:r>
              <w:rPr>
                <w:rFonts w:hint="eastAsia"/>
                <w:b/>
                <w:bCs/>
                <w:color w:val="000000"/>
                <w:kern w:val="0"/>
                <w:sz w:val="22"/>
                <w:szCs w:val="22"/>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328"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产出</w:t>
            </w:r>
          </w:p>
        </w:tc>
        <w:tc>
          <w:tcPr>
            <w:tcW w:w="301"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产出数量</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实际完成率</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项目实施的实际产出数与计划产出数的比率，用以反映和考核项目产出数量目标的实现程度。</w:t>
            </w:r>
          </w:p>
        </w:tc>
        <w:tc>
          <w:tcPr>
            <w:tcW w:w="2048" w:type="pct"/>
            <w:shd w:val="clear" w:color="000000" w:fill="FFFFFF"/>
            <w:vAlign w:val="center"/>
          </w:tcPr>
          <w:p>
            <w:pPr>
              <w:widowControl/>
              <w:spacing w:line="0" w:lineRule="atLeast"/>
              <w:rPr>
                <w:color w:val="000000"/>
                <w:kern w:val="0"/>
                <w:sz w:val="22"/>
                <w:szCs w:val="22"/>
              </w:rPr>
            </w:pPr>
            <w:r>
              <w:rPr>
                <w:color w:val="000000"/>
                <w:kern w:val="0"/>
                <w:sz w:val="22"/>
                <w:szCs w:val="22"/>
              </w:rPr>
              <w:t>实际完成率=（实际产出数/计划产出数）×100%。</w:t>
            </w:r>
            <w:r>
              <w:rPr>
                <w:color w:val="000000"/>
                <w:kern w:val="0"/>
                <w:sz w:val="22"/>
                <w:szCs w:val="22"/>
              </w:rPr>
              <w:br w:type="textWrapping"/>
            </w:r>
            <w:r>
              <w:rPr>
                <w:color w:val="000000"/>
                <w:kern w:val="0"/>
                <w:sz w:val="22"/>
                <w:szCs w:val="22"/>
              </w:rPr>
              <w:t>实际产出数：一定时期（本年度或项目期）内项目实际产出的产品或提供的服务数量。</w:t>
            </w:r>
            <w:r>
              <w:rPr>
                <w:color w:val="000000"/>
                <w:kern w:val="0"/>
                <w:sz w:val="22"/>
                <w:szCs w:val="22"/>
              </w:rPr>
              <w:br w:type="textWrapping"/>
            </w:r>
            <w:r>
              <w:rPr>
                <w:color w:val="000000"/>
                <w:kern w:val="0"/>
                <w:sz w:val="22"/>
                <w:szCs w:val="22"/>
              </w:rPr>
              <w:t>计划产出数：项目绩效目标确定的在一定时期（本年度或项目期）内计划产出的产品或提供的服务数量。</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10</w:t>
            </w:r>
          </w:p>
        </w:tc>
        <w:tc>
          <w:tcPr>
            <w:tcW w:w="537" w:type="pct"/>
            <w:shd w:val="clear" w:color="000000" w:fill="FFFFFF"/>
            <w:vAlign w:val="center"/>
          </w:tcPr>
          <w:p>
            <w:pPr>
              <w:widowControl/>
              <w:spacing w:line="0" w:lineRule="atLeast"/>
              <w:jc w:val="center"/>
              <w:rPr>
                <w:b/>
                <w:bCs/>
                <w:color w:val="000000"/>
                <w:kern w:val="0"/>
                <w:sz w:val="22"/>
                <w:szCs w:val="22"/>
              </w:rPr>
            </w:pPr>
            <w:r>
              <w:rPr>
                <w:rFonts w:hint="eastAsia"/>
                <w:b/>
                <w:bCs/>
                <w:color w:val="000000"/>
                <w:kern w:val="0"/>
                <w:sz w:val="22"/>
                <w:szCs w:val="22"/>
              </w:rPr>
              <w:t>6.4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jc w:val="center"/>
        </w:trPr>
        <w:tc>
          <w:tcPr>
            <w:tcW w:w="328" w:type="pct"/>
            <w:vMerge w:val="continue"/>
            <w:shd w:val="clear" w:color="auto" w:fill="FFFFFF"/>
            <w:vAlign w:val="center"/>
          </w:tcPr>
          <w:p>
            <w:pPr>
              <w:widowControl/>
              <w:spacing w:line="0" w:lineRule="atLeast"/>
              <w:jc w:val="center"/>
              <w:rPr>
                <w:color w:val="000000"/>
                <w:kern w:val="0"/>
                <w:sz w:val="22"/>
                <w:szCs w:val="22"/>
              </w:rPr>
            </w:pPr>
          </w:p>
        </w:tc>
        <w:tc>
          <w:tcPr>
            <w:tcW w:w="301"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产出质量</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质量达标率</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项目完成的质量达标产出数与实际产出数的比率，用以反映和考核项目产出质量目标的实现程度。</w:t>
            </w:r>
          </w:p>
        </w:tc>
        <w:tc>
          <w:tcPr>
            <w:tcW w:w="2048" w:type="pct"/>
            <w:shd w:val="clear" w:color="000000" w:fill="FFFFFF"/>
            <w:vAlign w:val="center"/>
          </w:tcPr>
          <w:p>
            <w:pPr>
              <w:widowControl/>
              <w:spacing w:line="0" w:lineRule="atLeast"/>
              <w:rPr>
                <w:color w:val="000000"/>
                <w:kern w:val="0"/>
                <w:sz w:val="22"/>
                <w:szCs w:val="22"/>
              </w:rPr>
            </w:pPr>
            <w:r>
              <w:rPr>
                <w:color w:val="000000"/>
                <w:kern w:val="0"/>
                <w:sz w:val="22"/>
                <w:szCs w:val="22"/>
              </w:rPr>
              <w:t>质量达标率=（质量达标产出数/实际产出数）×100%。</w:t>
            </w:r>
          </w:p>
          <w:p>
            <w:pPr>
              <w:widowControl/>
              <w:spacing w:line="0" w:lineRule="atLeast"/>
              <w:rPr>
                <w:color w:val="000000"/>
                <w:kern w:val="0"/>
                <w:sz w:val="22"/>
                <w:szCs w:val="22"/>
              </w:rPr>
            </w:pPr>
            <w:r>
              <w:rPr>
                <w:color w:val="000000"/>
                <w:kern w:val="0"/>
                <w:sz w:val="22"/>
                <w:szCs w:val="22"/>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10</w:t>
            </w:r>
          </w:p>
        </w:tc>
        <w:tc>
          <w:tcPr>
            <w:tcW w:w="537" w:type="pct"/>
            <w:shd w:val="clear" w:color="000000" w:fill="FFFFFF"/>
            <w:vAlign w:val="center"/>
          </w:tcPr>
          <w:p>
            <w:pPr>
              <w:widowControl/>
              <w:spacing w:line="0" w:lineRule="atLeast"/>
              <w:jc w:val="center"/>
              <w:rPr>
                <w:b/>
                <w:bCs/>
                <w:color w:val="000000"/>
                <w:kern w:val="0"/>
                <w:sz w:val="22"/>
                <w:szCs w:val="22"/>
              </w:rPr>
            </w:pPr>
            <w:r>
              <w:rPr>
                <w:rFonts w:hint="eastAsia"/>
                <w:b/>
                <w:bCs/>
                <w:color w:val="000000"/>
                <w:kern w:val="0"/>
                <w:sz w:val="22"/>
                <w:szCs w:val="22"/>
              </w:rPr>
              <w:t>6.4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328" w:type="pct"/>
            <w:vMerge w:val="continue"/>
            <w:shd w:val="clear" w:color="auto" w:fill="FFFFFF"/>
            <w:vAlign w:val="center"/>
          </w:tcPr>
          <w:p>
            <w:pPr>
              <w:spacing w:line="0" w:lineRule="atLeast"/>
              <w:jc w:val="center"/>
              <w:rPr>
                <w:color w:val="000000"/>
                <w:kern w:val="0"/>
                <w:sz w:val="22"/>
                <w:szCs w:val="22"/>
              </w:rPr>
            </w:pPr>
          </w:p>
        </w:tc>
        <w:tc>
          <w:tcPr>
            <w:tcW w:w="301" w:type="pct"/>
            <w:shd w:val="clear" w:color="auto" w:fill="FFFFFF"/>
            <w:vAlign w:val="center"/>
          </w:tcPr>
          <w:p>
            <w:pPr>
              <w:spacing w:line="0" w:lineRule="atLeast"/>
              <w:jc w:val="center"/>
              <w:rPr>
                <w:color w:val="000000"/>
                <w:kern w:val="0"/>
                <w:sz w:val="22"/>
                <w:szCs w:val="22"/>
              </w:rPr>
            </w:pPr>
            <w:r>
              <w:rPr>
                <w:color w:val="000000"/>
                <w:kern w:val="0"/>
                <w:sz w:val="22"/>
                <w:szCs w:val="22"/>
              </w:rPr>
              <w:t>产出时效</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完成及时性</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项目实际完成时间与计划完成时间的比较，用以反映和考核项目产出时效目标的实现程度。</w:t>
            </w:r>
          </w:p>
        </w:tc>
        <w:tc>
          <w:tcPr>
            <w:tcW w:w="2048" w:type="pct"/>
            <w:shd w:val="clear" w:color="000000" w:fill="FFFFFF"/>
            <w:vAlign w:val="center"/>
          </w:tcPr>
          <w:p>
            <w:pPr>
              <w:widowControl/>
              <w:spacing w:line="0" w:lineRule="atLeast"/>
              <w:rPr>
                <w:color w:val="000000"/>
                <w:kern w:val="0"/>
                <w:sz w:val="22"/>
                <w:szCs w:val="22"/>
              </w:rPr>
            </w:pPr>
            <w:r>
              <w:rPr>
                <w:color w:val="000000"/>
                <w:kern w:val="0"/>
                <w:sz w:val="22"/>
                <w:szCs w:val="22"/>
              </w:rPr>
              <w:t>实际完成时间：项目实施单位完成该项目实际所耗用的时间。</w:t>
            </w:r>
            <w:r>
              <w:rPr>
                <w:color w:val="000000"/>
                <w:kern w:val="0"/>
                <w:sz w:val="22"/>
                <w:szCs w:val="22"/>
              </w:rPr>
              <w:br w:type="textWrapping"/>
            </w:r>
            <w:r>
              <w:rPr>
                <w:color w:val="000000"/>
                <w:kern w:val="0"/>
                <w:sz w:val="22"/>
                <w:szCs w:val="22"/>
              </w:rPr>
              <w:t>计划完成时间：按照项目实施计划或相关规定完成该项目所需的时间。</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10</w:t>
            </w:r>
          </w:p>
        </w:tc>
        <w:tc>
          <w:tcPr>
            <w:tcW w:w="537" w:type="pct"/>
            <w:shd w:val="clear" w:color="000000" w:fill="FFFFFF"/>
            <w:vAlign w:val="center"/>
          </w:tcPr>
          <w:p>
            <w:pPr>
              <w:widowControl/>
              <w:spacing w:line="0" w:lineRule="atLeast"/>
              <w:jc w:val="center"/>
              <w:rPr>
                <w:b/>
                <w:bCs/>
                <w:color w:val="000000"/>
                <w:kern w:val="0"/>
                <w:sz w:val="22"/>
                <w:szCs w:val="22"/>
              </w:rPr>
            </w:pPr>
            <w:r>
              <w:rPr>
                <w:rFonts w:hint="eastAsia"/>
                <w:b/>
                <w:bCs/>
                <w:color w:val="000000"/>
                <w:kern w:val="0"/>
                <w:sz w:val="22"/>
                <w:szCs w:val="22"/>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328" w:type="pct"/>
            <w:vMerge w:val="continue"/>
            <w:shd w:val="clear" w:color="auto" w:fill="FFFFFF"/>
            <w:vAlign w:val="center"/>
          </w:tcPr>
          <w:p>
            <w:pPr>
              <w:widowControl/>
              <w:spacing w:line="0" w:lineRule="atLeast"/>
              <w:jc w:val="center"/>
              <w:rPr>
                <w:color w:val="000000"/>
                <w:kern w:val="0"/>
                <w:sz w:val="22"/>
                <w:szCs w:val="22"/>
              </w:rPr>
            </w:pPr>
          </w:p>
        </w:tc>
        <w:tc>
          <w:tcPr>
            <w:tcW w:w="301"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产出成本</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成本节约率</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完成项目计划工作目标的实际节约成本与计划成本的比率，用以反映和考核项目的成本节约程度。</w:t>
            </w:r>
          </w:p>
        </w:tc>
        <w:tc>
          <w:tcPr>
            <w:tcW w:w="2048" w:type="pct"/>
            <w:shd w:val="clear" w:color="000000" w:fill="FFFFFF"/>
            <w:vAlign w:val="center"/>
          </w:tcPr>
          <w:p>
            <w:pPr>
              <w:widowControl/>
              <w:spacing w:line="0" w:lineRule="atLeast"/>
              <w:rPr>
                <w:color w:val="000000"/>
                <w:kern w:val="0"/>
                <w:sz w:val="22"/>
                <w:szCs w:val="22"/>
              </w:rPr>
            </w:pPr>
            <w:r>
              <w:rPr>
                <w:color w:val="000000"/>
                <w:kern w:val="0"/>
                <w:sz w:val="22"/>
                <w:szCs w:val="22"/>
              </w:rPr>
              <w:br w:type="textWrapping"/>
            </w:r>
            <w:r>
              <w:rPr>
                <w:color w:val="000000"/>
                <w:kern w:val="0"/>
                <w:sz w:val="22"/>
                <w:szCs w:val="22"/>
              </w:rPr>
              <w:t>成本节约率=[（计划成本-实际成本）/计划成本]×100%。</w:t>
            </w:r>
            <w:r>
              <w:rPr>
                <w:color w:val="000000"/>
                <w:kern w:val="0"/>
                <w:sz w:val="22"/>
                <w:szCs w:val="22"/>
              </w:rPr>
              <w:br w:type="textWrapping"/>
            </w:r>
            <w:r>
              <w:rPr>
                <w:color w:val="000000"/>
                <w:kern w:val="0"/>
                <w:sz w:val="22"/>
                <w:szCs w:val="22"/>
              </w:rPr>
              <w:t>实际成本：项目实施单位如期、保质、保量完成既定工作目标实际所耗费的支出。</w:t>
            </w:r>
            <w:r>
              <w:rPr>
                <w:color w:val="000000"/>
                <w:kern w:val="0"/>
                <w:sz w:val="22"/>
                <w:szCs w:val="22"/>
              </w:rPr>
              <w:br w:type="textWrapping"/>
            </w:r>
            <w:r>
              <w:rPr>
                <w:color w:val="000000"/>
                <w:kern w:val="0"/>
                <w:sz w:val="22"/>
                <w:szCs w:val="22"/>
              </w:rPr>
              <w:t>计划成本：项目实施单位为完成工作目标计划安排的支出，一般以项目预算为参考。</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10</w:t>
            </w:r>
          </w:p>
        </w:tc>
        <w:tc>
          <w:tcPr>
            <w:tcW w:w="537" w:type="pct"/>
            <w:shd w:val="clear" w:color="000000" w:fill="FFFFFF"/>
            <w:vAlign w:val="center"/>
          </w:tcPr>
          <w:p>
            <w:pPr>
              <w:widowControl/>
              <w:spacing w:line="0" w:lineRule="atLeast"/>
              <w:jc w:val="center"/>
              <w:rPr>
                <w:b/>
                <w:bCs/>
                <w:color w:val="000000"/>
                <w:kern w:val="0"/>
                <w:sz w:val="22"/>
                <w:szCs w:val="22"/>
              </w:rPr>
            </w:pPr>
            <w:r>
              <w:rPr>
                <w:rFonts w:hint="eastAsia"/>
                <w:b/>
                <w:bCs/>
                <w:color w:val="000000"/>
                <w:kern w:val="0"/>
                <w:sz w:val="22"/>
                <w:szCs w:val="22"/>
              </w:rPr>
              <w:t>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328"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效益　</w:t>
            </w:r>
          </w:p>
        </w:tc>
        <w:tc>
          <w:tcPr>
            <w:tcW w:w="301"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项目效益　</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实施效益</w:t>
            </w:r>
          </w:p>
        </w:tc>
        <w:tc>
          <w:tcPr>
            <w:tcW w:w="927" w:type="pct"/>
            <w:shd w:val="clear" w:color="auto" w:fill="FFFFFF"/>
            <w:vAlign w:val="center"/>
          </w:tcPr>
          <w:p>
            <w:pPr>
              <w:widowControl/>
              <w:spacing w:line="0" w:lineRule="atLeast"/>
              <w:jc w:val="left"/>
              <w:rPr>
                <w:color w:val="000000"/>
                <w:kern w:val="0"/>
                <w:sz w:val="22"/>
                <w:szCs w:val="22"/>
              </w:rPr>
            </w:pPr>
            <w:r>
              <w:rPr>
                <w:color w:val="000000"/>
                <w:kern w:val="0"/>
                <w:sz w:val="22"/>
                <w:szCs w:val="22"/>
              </w:rPr>
              <w:t>项目实施所产生的效益。</w:t>
            </w:r>
          </w:p>
        </w:tc>
        <w:tc>
          <w:tcPr>
            <w:tcW w:w="2048" w:type="pct"/>
            <w:shd w:val="clear" w:color="auto" w:fill="FFFFFF"/>
            <w:vAlign w:val="center"/>
          </w:tcPr>
          <w:p>
            <w:pPr>
              <w:widowControl/>
              <w:spacing w:line="0" w:lineRule="atLeast"/>
              <w:rPr>
                <w:color w:val="000000"/>
                <w:kern w:val="0"/>
                <w:sz w:val="22"/>
                <w:szCs w:val="22"/>
              </w:rPr>
            </w:pPr>
            <w:r>
              <w:rPr>
                <w:color w:val="000000"/>
                <w:kern w:val="0"/>
                <w:sz w:val="22"/>
                <w:szCs w:val="22"/>
              </w:rPr>
              <w:t>项目实施所产生的社会效益、经济效益、生态效益、可持续影响等。可根据项目实际情况有选择地设置和细化。</w:t>
            </w:r>
          </w:p>
        </w:tc>
        <w:tc>
          <w:tcPr>
            <w:tcW w:w="512"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10</w:t>
            </w:r>
          </w:p>
        </w:tc>
        <w:tc>
          <w:tcPr>
            <w:tcW w:w="537" w:type="pct"/>
            <w:shd w:val="clear" w:color="auto" w:fill="FFFFFF"/>
            <w:vAlign w:val="center"/>
          </w:tcPr>
          <w:p>
            <w:pPr>
              <w:widowControl/>
              <w:spacing w:line="0" w:lineRule="atLeast"/>
              <w:jc w:val="center"/>
              <w:rPr>
                <w:b/>
                <w:bCs/>
                <w:color w:val="000000"/>
                <w:kern w:val="0"/>
                <w:sz w:val="22"/>
                <w:szCs w:val="22"/>
              </w:rPr>
            </w:pPr>
            <w:r>
              <w:rPr>
                <w:rFonts w:hint="eastAsia"/>
                <w:b/>
                <w:bCs/>
                <w:color w:val="000000"/>
                <w:kern w:val="0"/>
                <w:sz w:val="22"/>
                <w:szCs w:val="22"/>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328" w:type="pct"/>
            <w:vMerge w:val="continue"/>
            <w:shd w:val="clear" w:color="auto" w:fill="FFFFFF"/>
            <w:vAlign w:val="center"/>
          </w:tcPr>
          <w:p>
            <w:pPr>
              <w:widowControl/>
              <w:spacing w:line="0" w:lineRule="atLeast"/>
              <w:jc w:val="center"/>
              <w:rPr>
                <w:color w:val="000000"/>
                <w:kern w:val="0"/>
                <w:sz w:val="22"/>
                <w:szCs w:val="22"/>
              </w:rPr>
            </w:pPr>
          </w:p>
        </w:tc>
        <w:tc>
          <w:tcPr>
            <w:tcW w:w="301" w:type="pct"/>
            <w:vMerge w:val="continue"/>
            <w:shd w:val="clear" w:color="auto" w:fill="FFFFFF"/>
            <w:vAlign w:val="center"/>
          </w:tcPr>
          <w:p>
            <w:pPr>
              <w:widowControl/>
              <w:spacing w:line="0" w:lineRule="atLeast"/>
              <w:jc w:val="center"/>
              <w:rPr>
                <w:color w:val="000000"/>
                <w:kern w:val="0"/>
                <w:sz w:val="22"/>
                <w:szCs w:val="22"/>
              </w:rPr>
            </w:pP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满意度</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社会公众或服务对象对项目实施效果的满意程度。</w:t>
            </w:r>
          </w:p>
        </w:tc>
        <w:tc>
          <w:tcPr>
            <w:tcW w:w="2048" w:type="pct"/>
            <w:shd w:val="clear" w:color="000000" w:fill="FFFFFF"/>
            <w:vAlign w:val="center"/>
          </w:tcPr>
          <w:p>
            <w:pPr>
              <w:widowControl/>
              <w:spacing w:line="0" w:lineRule="atLeast"/>
              <w:rPr>
                <w:color w:val="000000"/>
                <w:kern w:val="0"/>
                <w:sz w:val="22"/>
                <w:szCs w:val="22"/>
              </w:rPr>
            </w:pPr>
            <w:r>
              <w:rPr>
                <w:color w:val="000000"/>
                <w:kern w:val="0"/>
                <w:sz w:val="22"/>
                <w:szCs w:val="22"/>
              </w:rPr>
              <w:t>社会公众或服务对象是指因该项目实施而受到影响的部门（单位）、群体或个人。一般采取社会调查的方式。</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10</w:t>
            </w:r>
          </w:p>
        </w:tc>
        <w:tc>
          <w:tcPr>
            <w:tcW w:w="537" w:type="pct"/>
            <w:shd w:val="clear" w:color="000000" w:fill="FFFFFF"/>
            <w:vAlign w:val="center"/>
          </w:tcPr>
          <w:p>
            <w:pPr>
              <w:widowControl/>
              <w:spacing w:line="0" w:lineRule="atLeast"/>
              <w:jc w:val="center"/>
              <w:rPr>
                <w:b/>
                <w:bCs/>
                <w:color w:val="000000"/>
                <w:kern w:val="0"/>
                <w:sz w:val="22"/>
                <w:szCs w:val="22"/>
              </w:rPr>
            </w:pPr>
            <w:r>
              <w:rPr>
                <w:rFonts w:hint="eastAsia"/>
                <w:b/>
                <w:bCs/>
                <w:color w:val="000000"/>
                <w:kern w:val="0"/>
                <w:sz w:val="22"/>
                <w:szCs w:val="22"/>
              </w:rPr>
              <w:t>10</w:t>
            </w:r>
          </w:p>
        </w:tc>
      </w:tr>
    </w:tbl>
    <w:p/>
    <w:sectPr>
      <w:pgSz w:w="16838" w:h="11906" w:orient="landscape"/>
      <w:pgMar w:top="1800" w:right="1440" w:bottom="155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华文中宋">
    <w:altName w:val="汉仪中宋简"/>
    <w:panose1 w:val="00000000000000000000"/>
    <w:charset w:val="86"/>
    <w:family w:val="auto"/>
    <w:pitch w:val="default"/>
    <w:sig w:usb0="00000000" w:usb1="00000000" w:usb2="00000000" w:usb3="00000000" w:csb0="0004009F" w:csb1="DFD70000"/>
  </w:font>
  <w:font w:name="方正小标宋_GBK">
    <w:panose1 w:val="02000000000000000000"/>
    <w:charset w:val="86"/>
    <w:family w:val="script"/>
    <w:pitch w:val="default"/>
    <w:sig w:usb0="00000001" w:usb1="08000000" w:usb2="00000000" w:usb3="00000000" w:csb0="00040000" w:csb1="00000000"/>
  </w:font>
  <w:font w:name="楷体_GB2312">
    <w:altName w:val="方正楷体_GBK"/>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CESI仿宋-GB2312">
    <w:panose1 w:val="02000500000000000000"/>
    <w:charset w:val="86"/>
    <w:family w:val="auto"/>
    <w:pitch w:val="default"/>
    <w:sig w:usb0="800002AF" w:usb1="084F6CF8"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sdtPr>
    <w:sdtContent>
      <w:p>
        <w:pPr>
          <w:pStyle w:val="8"/>
          <w:jc w:val="center"/>
        </w:pPr>
        <w:r>
          <w:fldChar w:fldCharType="begin"/>
        </w:r>
        <w:r>
          <w:instrText xml:space="preserve">PAGE   \* MERGEFORMAT</w:instrText>
        </w:r>
        <w:r>
          <w:fldChar w:fldCharType="separate"/>
        </w:r>
        <w:r>
          <w:rPr>
            <w:lang w:val="zh-CN"/>
          </w:rPr>
          <w:t>16</w:t>
        </w:r>
        <w:r>
          <w:rPr>
            <w:lang w:val="zh-CN"/>
          </w:rP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9379A8"/>
    <w:multiLevelType w:val="singleLevel"/>
    <w:tmpl w:val="FF9379A8"/>
    <w:lvl w:ilvl="0" w:tentative="0">
      <w:start w:val="2"/>
      <w:numFmt w:val="chineseCounting"/>
      <w:suff w:val="nothing"/>
      <w:lvlText w:val="（%1）"/>
      <w:lvlJc w:val="left"/>
      <w:rPr>
        <w:rFonts w:hint="eastAsia"/>
      </w:rPr>
    </w:lvl>
  </w:abstractNum>
  <w:abstractNum w:abstractNumId="1">
    <w:nsid w:val="116B29BF"/>
    <w:multiLevelType w:val="singleLevel"/>
    <w:tmpl w:val="116B29BF"/>
    <w:lvl w:ilvl="0" w:tentative="0">
      <w:start w:val="3"/>
      <w:numFmt w:val="chineseCounting"/>
      <w:suff w:val="nothing"/>
      <w:lvlText w:val="%1、"/>
      <w:lvlJc w:val="left"/>
      <w:rPr>
        <w:rFonts w:hint="eastAsia"/>
      </w:rPr>
    </w:lvl>
  </w:abstractNum>
  <w:abstractNum w:abstractNumId="2">
    <w:nsid w:val="27813159"/>
    <w:multiLevelType w:val="singleLevel"/>
    <w:tmpl w:val="27813159"/>
    <w:lvl w:ilvl="0" w:tentative="0">
      <w:start w:val="3"/>
      <w:numFmt w:val="chineseCounting"/>
      <w:suff w:val="nothing"/>
      <w:lvlText w:val="（%1）"/>
      <w:lvlJc w:val="left"/>
      <w:rPr>
        <w:rFonts w:hint="eastAsia"/>
      </w:rPr>
    </w:lvl>
  </w:abstractNum>
  <w:abstractNum w:abstractNumId="3">
    <w:nsid w:val="6FAA0AB1"/>
    <w:multiLevelType w:val="singleLevel"/>
    <w:tmpl w:val="6FAA0AB1"/>
    <w:lvl w:ilvl="0" w:tentative="0">
      <w:start w:val="2"/>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EzNjM3ZjNmMGUxY2E3MTg1Y2U0Y2MxMzlkMDRhODkifQ=="/>
  </w:docVars>
  <w:rsids>
    <w:rsidRoot w:val="FF6C4049"/>
    <w:rsid w:val="00011FB9"/>
    <w:rsid w:val="0001424C"/>
    <w:rsid w:val="00054943"/>
    <w:rsid w:val="00097E64"/>
    <w:rsid w:val="000A2006"/>
    <w:rsid w:val="0016687B"/>
    <w:rsid w:val="00167294"/>
    <w:rsid w:val="001C6203"/>
    <w:rsid w:val="001C7826"/>
    <w:rsid w:val="001E32D6"/>
    <w:rsid w:val="002439C1"/>
    <w:rsid w:val="002E3352"/>
    <w:rsid w:val="003142A2"/>
    <w:rsid w:val="003962CC"/>
    <w:rsid w:val="00427071"/>
    <w:rsid w:val="00453767"/>
    <w:rsid w:val="00492B3F"/>
    <w:rsid w:val="00493442"/>
    <w:rsid w:val="004A0487"/>
    <w:rsid w:val="004B211D"/>
    <w:rsid w:val="004B4965"/>
    <w:rsid w:val="00551ECA"/>
    <w:rsid w:val="00574CD8"/>
    <w:rsid w:val="00596E8F"/>
    <w:rsid w:val="005A37F0"/>
    <w:rsid w:val="005C0183"/>
    <w:rsid w:val="006340AC"/>
    <w:rsid w:val="006F7242"/>
    <w:rsid w:val="00723EF6"/>
    <w:rsid w:val="00777B32"/>
    <w:rsid w:val="007A0624"/>
    <w:rsid w:val="007B168A"/>
    <w:rsid w:val="007F16C2"/>
    <w:rsid w:val="008409FC"/>
    <w:rsid w:val="008A3A05"/>
    <w:rsid w:val="008B2CFE"/>
    <w:rsid w:val="009176FE"/>
    <w:rsid w:val="009470F9"/>
    <w:rsid w:val="00957E44"/>
    <w:rsid w:val="009709EA"/>
    <w:rsid w:val="009F7CDD"/>
    <w:rsid w:val="00A23298"/>
    <w:rsid w:val="00A535E5"/>
    <w:rsid w:val="00AE5C0E"/>
    <w:rsid w:val="00B11063"/>
    <w:rsid w:val="00B32650"/>
    <w:rsid w:val="00B34513"/>
    <w:rsid w:val="00B812F2"/>
    <w:rsid w:val="00B85AD2"/>
    <w:rsid w:val="00BB6C6C"/>
    <w:rsid w:val="00C001AF"/>
    <w:rsid w:val="00C07EEA"/>
    <w:rsid w:val="00C8139B"/>
    <w:rsid w:val="00CD6CC1"/>
    <w:rsid w:val="00CE0361"/>
    <w:rsid w:val="00D1511F"/>
    <w:rsid w:val="00DB100B"/>
    <w:rsid w:val="00DB69B0"/>
    <w:rsid w:val="00E4331E"/>
    <w:rsid w:val="00EA0461"/>
    <w:rsid w:val="00EC465B"/>
    <w:rsid w:val="00F24C94"/>
    <w:rsid w:val="00F26FF6"/>
    <w:rsid w:val="00F47540"/>
    <w:rsid w:val="00F510F3"/>
    <w:rsid w:val="00F52607"/>
    <w:rsid w:val="00F72E46"/>
    <w:rsid w:val="07397B77"/>
    <w:rsid w:val="13471461"/>
    <w:rsid w:val="13B90F01"/>
    <w:rsid w:val="181066D2"/>
    <w:rsid w:val="1C671E73"/>
    <w:rsid w:val="38CA40DD"/>
    <w:rsid w:val="395F2B56"/>
    <w:rsid w:val="3BECE841"/>
    <w:rsid w:val="3FF7797D"/>
    <w:rsid w:val="5BFF6039"/>
    <w:rsid w:val="5D76A616"/>
    <w:rsid w:val="5D7F20B9"/>
    <w:rsid w:val="5DAC7D0E"/>
    <w:rsid w:val="5F98B5AF"/>
    <w:rsid w:val="5FFE8511"/>
    <w:rsid w:val="5FFEACE2"/>
    <w:rsid w:val="643EE26D"/>
    <w:rsid w:val="670D092A"/>
    <w:rsid w:val="6F5C41AC"/>
    <w:rsid w:val="6FAF6C78"/>
    <w:rsid w:val="7317C656"/>
    <w:rsid w:val="734ED73F"/>
    <w:rsid w:val="77FD8BE9"/>
    <w:rsid w:val="79A9BD3F"/>
    <w:rsid w:val="7B5A4FAD"/>
    <w:rsid w:val="7BFFFDD0"/>
    <w:rsid w:val="7C336E5F"/>
    <w:rsid w:val="7D7A5F86"/>
    <w:rsid w:val="7F37BB4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4">
    <w:name w:val="annotation text"/>
    <w:basedOn w:val="1"/>
    <w:link w:val="21"/>
    <w:qFormat/>
    <w:uiPriority w:val="0"/>
    <w:pPr>
      <w:jc w:val="left"/>
    </w:pPr>
  </w:style>
  <w:style w:type="paragraph" w:styleId="5">
    <w:name w:val="Body Text"/>
    <w:basedOn w:val="1"/>
    <w:qFormat/>
    <w:uiPriority w:val="0"/>
    <w:pPr>
      <w:spacing w:after="120"/>
    </w:pPr>
  </w:style>
  <w:style w:type="paragraph" w:styleId="6">
    <w:name w:val="Body Text Indent"/>
    <w:basedOn w:val="1"/>
    <w:qFormat/>
    <w:uiPriority w:val="0"/>
    <w:pPr>
      <w:spacing w:after="120"/>
      <w:ind w:left="420" w:leftChars="200"/>
    </w:pPr>
    <w:rPr>
      <w:rFonts w:ascii="Calibri" w:hAnsi="Calibri"/>
    </w:rPr>
  </w:style>
  <w:style w:type="paragraph" w:styleId="7">
    <w:name w:val="Balloon Text"/>
    <w:basedOn w:val="1"/>
    <w:link w:val="19"/>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4"/>
    <w:next w:val="4"/>
    <w:link w:val="22"/>
    <w:qFormat/>
    <w:uiPriority w:val="0"/>
    <w:rPr>
      <w:b/>
      <w:bCs/>
    </w:rPr>
  </w:style>
  <w:style w:type="paragraph" w:styleId="11">
    <w:name w:val="Body Text First Indent"/>
    <w:basedOn w:val="5"/>
    <w:qFormat/>
    <w:uiPriority w:val="0"/>
    <w:pPr>
      <w:spacing w:after="0"/>
      <w:ind w:firstLine="200" w:firstLineChars="200"/>
    </w:pPr>
  </w:style>
  <w:style w:type="paragraph" w:styleId="12">
    <w:name w:val="Body Text First Indent 2"/>
    <w:basedOn w:val="6"/>
    <w:qFormat/>
    <w:uiPriority w:val="0"/>
    <w:pPr>
      <w:ind w:firstLine="420" w:firstLineChars="200"/>
    </w:pPr>
  </w:style>
  <w:style w:type="character" w:styleId="15">
    <w:name w:val="Strong"/>
    <w:basedOn w:val="14"/>
    <w:qFormat/>
    <w:uiPriority w:val="22"/>
    <w:rPr>
      <w:b/>
      <w:bCs/>
    </w:rPr>
  </w:style>
  <w:style w:type="character" w:styleId="16">
    <w:name w:val="annotation reference"/>
    <w:basedOn w:val="14"/>
    <w:qFormat/>
    <w:uiPriority w:val="0"/>
    <w:rPr>
      <w:sz w:val="21"/>
      <w:szCs w:val="21"/>
    </w:rPr>
  </w:style>
  <w:style w:type="character" w:customStyle="1" w:styleId="17">
    <w:name w:val="fontstyle01"/>
    <w:qFormat/>
    <w:uiPriority w:val="0"/>
    <w:rPr>
      <w:rFonts w:ascii="仿宋_GB2312" w:hAnsi="仿宋_GB2312" w:eastAsia="仿宋_GB2312" w:cs="仿宋_GB2312"/>
      <w:color w:val="000000"/>
      <w:sz w:val="32"/>
      <w:szCs w:val="32"/>
    </w:rPr>
  </w:style>
  <w:style w:type="paragraph" w:customStyle="1" w:styleId="18">
    <w:name w:val="闻政-正文段落文字"/>
    <w:basedOn w:val="1"/>
    <w:qFormat/>
    <w:uiPriority w:val="3"/>
    <w:pPr>
      <w:spacing w:line="500" w:lineRule="exact"/>
      <w:ind w:firstLine="200"/>
    </w:pPr>
    <w:rPr>
      <w:kern w:val="0"/>
      <w:szCs w:val="28"/>
    </w:rPr>
  </w:style>
  <w:style w:type="character" w:customStyle="1" w:styleId="19">
    <w:name w:val="批注框文本 Char"/>
    <w:basedOn w:val="14"/>
    <w:link w:val="7"/>
    <w:qFormat/>
    <w:uiPriority w:val="0"/>
    <w:rPr>
      <w:rFonts w:ascii="Times New Roman" w:hAnsi="Times New Roman" w:eastAsia="宋体" w:cs="Times New Roman"/>
      <w:kern w:val="2"/>
      <w:sz w:val="18"/>
      <w:szCs w:val="18"/>
    </w:rPr>
  </w:style>
  <w:style w:type="character" w:customStyle="1" w:styleId="20">
    <w:name w:val="页眉 Char"/>
    <w:basedOn w:val="14"/>
    <w:link w:val="9"/>
    <w:qFormat/>
    <w:uiPriority w:val="0"/>
    <w:rPr>
      <w:rFonts w:ascii="Times New Roman" w:hAnsi="Times New Roman" w:eastAsia="宋体" w:cs="Times New Roman"/>
      <w:kern w:val="2"/>
      <w:sz w:val="18"/>
      <w:szCs w:val="18"/>
    </w:rPr>
  </w:style>
  <w:style w:type="character" w:customStyle="1" w:styleId="21">
    <w:name w:val="批注文字 Char"/>
    <w:basedOn w:val="14"/>
    <w:link w:val="4"/>
    <w:qFormat/>
    <w:uiPriority w:val="0"/>
    <w:rPr>
      <w:rFonts w:ascii="Times New Roman" w:hAnsi="Times New Roman" w:eastAsia="宋体" w:cs="Times New Roman"/>
      <w:kern w:val="2"/>
      <w:sz w:val="21"/>
      <w:szCs w:val="24"/>
    </w:rPr>
  </w:style>
  <w:style w:type="character" w:customStyle="1" w:styleId="22">
    <w:name w:val="批注主题 Char"/>
    <w:basedOn w:val="21"/>
    <w:link w:val="10"/>
    <w:qFormat/>
    <w:uiPriority w:val="0"/>
    <w:rPr>
      <w:rFonts w:ascii="Times New Roman" w:hAnsi="Times New Roman" w:eastAsia="宋体" w:cs="Times New Roman"/>
      <w:b/>
      <w:bCs/>
      <w:kern w:val="2"/>
      <w:sz w:val="21"/>
      <w:szCs w:val="24"/>
    </w:rPr>
  </w:style>
  <w:style w:type="paragraph" w:styleId="2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1691</Words>
  <Characters>9645</Characters>
  <Lines>80</Lines>
  <Paragraphs>22</Paragraphs>
  <TotalTime>14</TotalTime>
  <ScaleCrop>false</ScaleCrop>
  <LinksUpToDate>false</LinksUpToDate>
  <CharactersWithSpaces>11314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2023-04-10T17:38:00Z</dcterms:created>
  <dc:creator>审核人</dc:creator>
  <cp:lastModifiedBy>wlt</cp:lastModifiedBy>
  <dcterms:modified xsi:type="dcterms:W3CDTF">2024-01-09T12:15:42Z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DEB37354E36D40D48F20A3DAB18895C3</vt:lpwstr>
  </property>
</Properties>
</file>