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rPr>
      </w:pPr>
    </w:p>
    <w:p>
      <w:pPr>
        <w:spacing w:line="540" w:lineRule="exact"/>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华文中宋"/>
          <w:b/>
          <w:kern w:val="0"/>
          <w:sz w:val="52"/>
          <w:szCs w:val="52"/>
        </w:rPr>
      </w:pPr>
    </w:p>
    <w:p>
      <w:pPr>
        <w:spacing w:line="540" w:lineRule="exact"/>
        <w:rPr>
          <w:rFonts w:eastAsia="方正小标宋_GBK"/>
          <w:kern w:val="0"/>
          <w:sz w:val="48"/>
          <w:szCs w:val="48"/>
        </w:rPr>
      </w:pPr>
      <w:r>
        <w:rPr>
          <w:rFonts w:hint="eastAsia" w:ascii="方正小标宋_GBK" w:hAnsi="方正小标宋_GBK" w:eastAsia="方正小标宋_GBK" w:cs="方正小标宋_GBK"/>
          <w:sz w:val="52"/>
          <w:szCs w:val="52"/>
        </w:rPr>
        <w:t>自治区</w:t>
      </w:r>
      <w:r>
        <w:rPr>
          <w:rFonts w:eastAsia="方正小标宋_GBK"/>
          <w:kern w:val="0"/>
          <w:sz w:val="48"/>
          <w:szCs w:val="48"/>
        </w:rPr>
        <w:t>资金项目支出绩效评价报告</w:t>
      </w:r>
    </w:p>
    <w:p>
      <w:pPr>
        <w:spacing w:line="540" w:lineRule="exact"/>
        <w:jc w:val="center"/>
        <w:rPr>
          <w:rFonts w:eastAsia="华文中宋"/>
          <w:b/>
          <w:kern w:val="0"/>
          <w:sz w:val="52"/>
          <w:szCs w:val="52"/>
        </w:rPr>
      </w:pPr>
    </w:p>
    <w:p>
      <w:pPr>
        <w:spacing w:line="540" w:lineRule="exact"/>
        <w:ind w:firstLine="2520" w:firstLineChars="700"/>
        <w:rPr>
          <w:rFonts w:eastAsia="仿宋_GB2312"/>
          <w:kern w:val="0"/>
          <w:sz w:val="36"/>
          <w:szCs w:val="36"/>
        </w:rPr>
      </w:pPr>
      <w:r>
        <w:rPr>
          <w:rFonts w:eastAsia="仿宋_GB2312"/>
          <w:kern w:val="0"/>
          <w:sz w:val="36"/>
          <w:szCs w:val="36"/>
        </w:rPr>
        <w:t>（2022年度）</w:t>
      </w: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pStyle w:val="2"/>
      </w:pPr>
    </w:p>
    <w:p>
      <w:pPr>
        <w:spacing w:line="540" w:lineRule="exact"/>
        <w:jc w:val="center"/>
        <w:rPr>
          <w:rFonts w:eastAsia="仿宋_GB2312"/>
          <w:kern w:val="0"/>
          <w:sz w:val="30"/>
          <w:szCs w:val="30"/>
        </w:rPr>
      </w:pPr>
    </w:p>
    <w:p>
      <w:pPr>
        <w:spacing w:line="540" w:lineRule="exact"/>
        <w:rPr>
          <w:rFonts w:eastAsia="仿宋_GB2312"/>
          <w:kern w:val="0"/>
          <w:sz w:val="30"/>
          <w:szCs w:val="30"/>
        </w:rPr>
      </w:pPr>
    </w:p>
    <w:p>
      <w:pPr>
        <w:spacing w:line="700" w:lineRule="exact"/>
        <w:jc w:val="left"/>
        <w:rPr>
          <w:rFonts w:hint="eastAsia" w:eastAsia="仿宋_GB2312"/>
          <w:kern w:val="0"/>
          <w:sz w:val="36"/>
          <w:szCs w:val="36"/>
        </w:rPr>
      </w:pPr>
      <w:r>
        <w:rPr>
          <w:rFonts w:eastAsia="仿宋_GB2312"/>
          <w:kern w:val="0"/>
          <w:sz w:val="36"/>
          <w:szCs w:val="36"/>
        </w:rPr>
        <w:t>项目名称：</w:t>
      </w:r>
      <w:r>
        <w:rPr>
          <w:rFonts w:hint="eastAsia" w:eastAsia="仿宋_GB2312"/>
          <w:kern w:val="0"/>
          <w:sz w:val="36"/>
          <w:szCs w:val="36"/>
        </w:rPr>
        <w:t>自治区政府购买文化演出项目</w:t>
      </w:r>
    </w:p>
    <w:p>
      <w:pPr>
        <w:spacing w:line="700" w:lineRule="exact"/>
        <w:jc w:val="left"/>
        <w:rPr>
          <w:rFonts w:hint="eastAsia" w:eastAsia="仿宋_GB2312"/>
          <w:kern w:val="0"/>
          <w:sz w:val="36"/>
          <w:szCs w:val="36"/>
        </w:rPr>
      </w:pPr>
      <w:r>
        <w:rPr>
          <w:rFonts w:eastAsia="仿宋_GB2312"/>
          <w:kern w:val="0"/>
          <w:sz w:val="36"/>
          <w:szCs w:val="36"/>
        </w:rPr>
        <w:t>实施单位（公章）：</w:t>
      </w:r>
      <w:r>
        <w:rPr>
          <w:rFonts w:hint="eastAsia" w:eastAsia="仿宋_GB2312"/>
          <w:kern w:val="0"/>
          <w:sz w:val="36"/>
          <w:szCs w:val="36"/>
        </w:rPr>
        <w:t>新疆艺术剧院民乐团(新疆民</w:t>
      </w:r>
      <w:r>
        <w:rPr>
          <w:rFonts w:hint="eastAsia" w:eastAsia="仿宋_GB2312"/>
          <w:kern w:val="0"/>
          <w:sz w:val="36"/>
          <w:szCs w:val="36"/>
          <w:lang w:val="en-US" w:eastAsia="zh-CN"/>
        </w:rPr>
        <w:t>乐</w:t>
      </w:r>
      <w:r>
        <w:rPr>
          <w:rFonts w:hint="eastAsia" w:eastAsia="仿宋_GB2312"/>
          <w:kern w:val="0"/>
          <w:sz w:val="36"/>
          <w:szCs w:val="36"/>
        </w:rPr>
        <w:t>团)</w:t>
      </w:r>
    </w:p>
    <w:p>
      <w:pPr>
        <w:spacing w:line="700" w:lineRule="exact"/>
        <w:ind w:firstLine="180" w:firstLineChars="5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自治区文化和旅游厅</w:t>
      </w:r>
    </w:p>
    <w:p>
      <w:pPr>
        <w:spacing w:line="700" w:lineRule="exact"/>
        <w:ind w:firstLine="180" w:firstLineChars="50"/>
        <w:jc w:val="left"/>
        <w:rPr>
          <w:rFonts w:hint="eastAsia" w:eastAsia="仿宋_GB2312"/>
          <w:kern w:val="0"/>
          <w:sz w:val="36"/>
          <w:szCs w:val="36"/>
        </w:rPr>
      </w:pPr>
      <w:r>
        <w:rPr>
          <w:rFonts w:eastAsia="仿宋_GB2312"/>
          <w:kern w:val="0"/>
          <w:sz w:val="36"/>
          <w:szCs w:val="36"/>
        </w:rPr>
        <w:t>项目负责人（签章）：</w:t>
      </w:r>
      <w:r>
        <w:rPr>
          <w:rFonts w:hint="eastAsia" w:eastAsia="仿宋_GB2312"/>
          <w:kern w:val="0"/>
          <w:sz w:val="36"/>
          <w:szCs w:val="36"/>
        </w:rPr>
        <w:t>张锐</w:t>
      </w:r>
    </w:p>
    <w:p>
      <w:pPr>
        <w:spacing w:line="700" w:lineRule="exact"/>
        <w:ind w:firstLine="180" w:firstLineChars="5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2023</w:t>
      </w:r>
      <w:r>
        <w:rPr>
          <w:rFonts w:eastAsia="仿宋_GB2312"/>
          <w:kern w:val="0"/>
          <w:sz w:val="36"/>
          <w:szCs w:val="36"/>
        </w:rPr>
        <w:t>年</w:t>
      </w:r>
      <w:r>
        <w:rPr>
          <w:rFonts w:hint="eastAsia" w:eastAsia="仿宋_GB2312"/>
          <w:kern w:val="0"/>
          <w:sz w:val="36"/>
          <w:szCs w:val="36"/>
        </w:rPr>
        <w:t>04</w:t>
      </w:r>
      <w:r>
        <w:rPr>
          <w:rFonts w:eastAsia="仿宋_GB2312"/>
          <w:kern w:val="0"/>
          <w:sz w:val="36"/>
          <w:szCs w:val="36"/>
        </w:rPr>
        <w:t>月</w:t>
      </w:r>
      <w:r>
        <w:rPr>
          <w:rFonts w:hint="eastAsia" w:eastAsia="仿宋_GB2312"/>
          <w:kern w:val="0"/>
          <w:sz w:val="36"/>
          <w:szCs w:val="36"/>
        </w:rPr>
        <w:t>06</w:t>
      </w:r>
      <w:r>
        <w:rPr>
          <w:rFonts w:eastAsia="仿宋_GB2312"/>
          <w:kern w:val="0"/>
          <w:sz w:val="36"/>
          <w:szCs w:val="36"/>
        </w:rPr>
        <w:t>日</w:t>
      </w:r>
    </w:p>
    <w:p>
      <w:pPr>
        <w:spacing w:line="540" w:lineRule="exact"/>
        <w:jc w:val="center"/>
        <w:rPr>
          <w:rFonts w:eastAsia="仿宋_GB2312"/>
          <w:kern w:val="0"/>
          <w:sz w:val="30"/>
          <w:szCs w:val="30"/>
        </w:rPr>
      </w:pPr>
    </w:p>
    <w:p>
      <w:pPr>
        <w:spacing w:line="540" w:lineRule="exact"/>
        <w:rPr>
          <w:rStyle w:val="15"/>
          <w:rFonts w:eastAsia="黑体"/>
          <w:b w:val="0"/>
          <w:spacing w:val="-4"/>
          <w:sz w:val="32"/>
          <w:szCs w:val="32"/>
        </w:rPr>
      </w:pPr>
    </w:p>
    <w:p>
      <w:pPr>
        <w:spacing w:line="540" w:lineRule="exact"/>
        <w:ind w:firstLine="640"/>
        <w:rPr>
          <w:rStyle w:val="15"/>
          <w:rFonts w:eastAsia="黑体"/>
          <w:b w:val="0"/>
          <w:spacing w:val="-4"/>
          <w:sz w:val="32"/>
          <w:szCs w:val="32"/>
        </w:rPr>
      </w:pPr>
    </w:p>
    <w:p>
      <w:pPr>
        <w:spacing w:line="540" w:lineRule="exact"/>
        <w:rPr>
          <w:rStyle w:val="15"/>
          <w:rFonts w:eastAsia="黑体"/>
          <w:b w:val="0"/>
          <w:spacing w:val="-4"/>
          <w:sz w:val="32"/>
          <w:szCs w:val="32"/>
        </w:rPr>
      </w:pPr>
    </w:p>
    <w:p>
      <w:pPr>
        <w:spacing w:line="560" w:lineRule="exact"/>
        <w:ind w:firstLine="640" w:firstLineChars="200"/>
        <w:rPr>
          <w:rFonts w:eastAsia="黑体"/>
          <w:bCs/>
          <w:sz w:val="32"/>
          <w:szCs w:val="32"/>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eastAsia="黑体"/>
          <w:bCs/>
          <w:sz w:val="32"/>
          <w:szCs w:val="32"/>
        </w:rPr>
      </w:pPr>
      <w:r>
        <w:rPr>
          <w:rFonts w:eastAsia="黑体"/>
          <w:bCs/>
          <w:sz w:val="32"/>
          <w:szCs w:val="32"/>
        </w:rPr>
        <w:t>一、基本情况</w:t>
      </w:r>
    </w:p>
    <w:p>
      <w:pPr>
        <w:spacing w:line="560" w:lineRule="exact"/>
        <w:ind w:firstLine="642" w:firstLineChars="200"/>
        <w:rPr>
          <w:rFonts w:eastAsia="楷体_GB2312"/>
          <w:b/>
          <w:bCs/>
          <w:sz w:val="32"/>
          <w:szCs w:val="32"/>
        </w:rPr>
      </w:pPr>
      <w:r>
        <w:rPr>
          <w:rFonts w:eastAsia="楷体_GB2312"/>
          <w:b/>
          <w:bCs/>
          <w:sz w:val="32"/>
          <w:szCs w:val="32"/>
        </w:rPr>
        <w:t>（一）项目概况</w:t>
      </w:r>
    </w:p>
    <w:p>
      <w:pPr>
        <w:spacing w:line="560" w:lineRule="exact"/>
        <w:ind w:firstLine="642" w:firstLineChars="200"/>
        <w:rPr>
          <w:rFonts w:eastAsia="仿宋_GB2312"/>
          <w:b/>
          <w:bCs/>
          <w:sz w:val="32"/>
          <w:szCs w:val="32"/>
        </w:rPr>
      </w:pPr>
      <w:r>
        <w:rPr>
          <w:rFonts w:eastAsia="仿宋_GB2312"/>
          <w:b/>
          <w:bCs/>
          <w:sz w:val="32"/>
          <w:szCs w:val="32"/>
        </w:rPr>
        <w:t>1、项目背景</w:t>
      </w:r>
      <w:r>
        <w:rPr>
          <w:rFonts w:hint="eastAsia" w:eastAsia="仿宋_GB2312"/>
          <w:b/>
          <w:bCs/>
          <w:sz w:val="32"/>
          <w:szCs w:val="32"/>
        </w:rPr>
        <w:t>：</w:t>
      </w:r>
    </w:p>
    <w:p>
      <w:pPr>
        <w:spacing w:line="560" w:lineRule="exact"/>
        <w:ind w:firstLine="320" w:firstLineChars="100"/>
        <w:rPr>
          <w:rFonts w:eastAsia="仿宋_GB2312"/>
          <w:sz w:val="32"/>
          <w:szCs w:val="32"/>
        </w:rPr>
      </w:pPr>
      <w:r>
        <w:rPr>
          <w:rFonts w:hint="eastAsia" w:eastAsia="仿宋_GB2312"/>
          <w:sz w:val="32"/>
          <w:szCs w:val="32"/>
        </w:rPr>
        <w:t>依据新财教【2016】238号关于印发《新疆维吾尔自治区区级文艺院团政府购买演出管理办法》的通知，文件中第二条政府购买演出的范围包括:自治区党委、人大、政府、政协、国家有关部委安排的由各院团参加的重大节庆演出文化交流、慰问演出和文化恵民等政治性、公益性演出等活动。第四条，政府购买演出补助资金优先用于自治区文艺院团在职人员绩效工资发放和缴纳基本养老保险、职业年金、并可用于演出活动所产生的节目创作、演出服装购置、演出设备租用和维护等开支。第七条建立政府购买演出机制后，自治区级文艺院团应按照自治区规范津贴补贴以及事业单位人员养老保险有关政策，确保在职人员绩效工资的发放和基本养老保险，职业年金缴纳。</w:t>
      </w:r>
    </w:p>
    <w:p>
      <w:pPr>
        <w:spacing w:line="560" w:lineRule="exact"/>
        <w:ind w:firstLine="320" w:firstLineChars="100"/>
        <w:rPr>
          <w:rFonts w:eastAsia="仿宋_GB2312"/>
          <w:sz w:val="32"/>
          <w:szCs w:val="32"/>
        </w:rPr>
      </w:pPr>
      <w:r>
        <w:rPr>
          <w:rFonts w:hint="eastAsia" w:eastAsia="仿宋_GB2312"/>
          <w:sz w:val="32"/>
          <w:szCs w:val="32"/>
        </w:rPr>
        <w:t>2、项目主要内容</w:t>
      </w:r>
    </w:p>
    <w:p>
      <w:pPr>
        <w:spacing w:line="560" w:lineRule="exact"/>
        <w:ind w:firstLine="320" w:firstLineChars="100"/>
        <w:rPr>
          <w:rFonts w:eastAsia="仿宋_GB2312"/>
          <w:sz w:val="32"/>
          <w:szCs w:val="32"/>
        </w:rPr>
      </w:pPr>
      <w:r>
        <w:rPr>
          <w:rFonts w:hint="eastAsia" w:eastAsia="仿宋_GB2312"/>
          <w:sz w:val="32"/>
          <w:szCs w:val="32"/>
        </w:rPr>
        <w:t>（1）项目主要内容：2022年度我单位自治区政府购买文化演出项目139万元资金主要用</w:t>
      </w:r>
      <w:r>
        <w:rPr>
          <w:rFonts w:hint="eastAsia" w:eastAsia="仿宋_GB2312"/>
          <w:sz w:val="32"/>
          <w:szCs w:val="32"/>
          <w:lang w:val="en-US" w:eastAsia="zh-CN"/>
        </w:rPr>
        <w:t>于保障</w:t>
      </w:r>
      <w:r>
        <w:rPr>
          <w:rFonts w:hint="eastAsia" w:eastAsia="仿宋_GB2312"/>
          <w:sz w:val="32"/>
          <w:szCs w:val="32"/>
        </w:rPr>
        <w:t>参加重大节庆演出文化交流、慰问演出和文化恵民</w:t>
      </w:r>
      <w:r>
        <w:rPr>
          <w:rFonts w:hint="eastAsia" w:eastAsia="仿宋_GB2312"/>
          <w:sz w:val="32"/>
          <w:szCs w:val="32"/>
          <w:lang w:val="en-US" w:eastAsia="zh-CN"/>
        </w:rPr>
        <w:t>以及</w:t>
      </w:r>
      <w:r>
        <w:rPr>
          <w:rFonts w:hint="eastAsia" w:eastAsia="仿宋_GB2312"/>
          <w:sz w:val="32"/>
          <w:szCs w:val="32"/>
        </w:rPr>
        <w:t>公益性演出等活动</w:t>
      </w:r>
      <w:r>
        <w:rPr>
          <w:rFonts w:hint="eastAsia" w:eastAsia="仿宋_GB2312"/>
          <w:sz w:val="32"/>
          <w:szCs w:val="32"/>
          <w:lang w:eastAsia="zh-CN"/>
        </w:rPr>
        <w:t>、</w:t>
      </w:r>
      <w:r>
        <w:rPr>
          <w:rFonts w:eastAsia="仿宋_GB2312"/>
          <w:sz w:val="32"/>
          <w:szCs w:val="32"/>
        </w:rPr>
        <w:t>弥补</w:t>
      </w:r>
      <w:r>
        <w:rPr>
          <w:rFonts w:hint="eastAsia" w:eastAsia="仿宋_GB2312"/>
          <w:sz w:val="32"/>
          <w:szCs w:val="32"/>
          <w:lang w:val="en-US" w:eastAsia="zh-CN"/>
        </w:rPr>
        <w:t>在职</w:t>
      </w:r>
      <w:r>
        <w:rPr>
          <w:rFonts w:eastAsia="仿宋_GB2312"/>
          <w:sz w:val="32"/>
          <w:szCs w:val="32"/>
        </w:rPr>
        <w:t>职工绩效</w:t>
      </w:r>
      <w:r>
        <w:rPr>
          <w:rFonts w:hint="eastAsia" w:eastAsia="仿宋_GB2312"/>
          <w:sz w:val="32"/>
          <w:szCs w:val="32"/>
        </w:rPr>
        <w:t>工资</w:t>
      </w:r>
      <w:r>
        <w:rPr>
          <w:rFonts w:hint="eastAsia" w:eastAsia="仿宋_GB2312"/>
          <w:sz w:val="32"/>
          <w:szCs w:val="32"/>
          <w:lang w:val="en-US" w:eastAsia="zh-CN"/>
        </w:rPr>
        <w:t>及</w:t>
      </w:r>
      <w:r>
        <w:rPr>
          <w:rFonts w:eastAsia="仿宋_GB2312"/>
          <w:sz w:val="32"/>
          <w:szCs w:val="32"/>
        </w:rPr>
        <w:t>社保的不足</w:t>
      </w:r>
      <w:r>
        <w:rPr>
          <w:rFonts w:hint="eastAsia" w:eastAsia="仿宋_GB2312"/>
          <w:sz w:val="32"/>
          <w:szCs w:val="32"/>
          <w:lang w:eastAsia="zh-CN"/>
        </w:rPr>
        <w:t>。</w:t>
      </w:r>
    </w:p>
    <w:p>
      <w:pPr>
        <w:spacing w:line="560" w:lineRule="exact"/>
        <w:ind w:firstLine="320" w:firstLineChars="100"/>
      </w:pPr>
      <w:r>
        <w:rPr>
          <w:rFonts w:hint="eastAsia" w:eastAsia="仿宋_GB2312"/>
          <w:sz w:val="32"/>
          <w:szCs w:val="32"/>
        </w:rPr>
        <w:t>（2）</w:t>
      </w:r>
      <w:r>
        <w:rPr>
          <w:rFonts w:eastAsia="仿宋_GB2312"/>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42" w:firstLineChars="200"/>
        <w:rPr>
          <w:rFonts w:eastAsia="仿宋_GB2312"/>
          <w:b/>
          <w:bCs/>
          <w:sz w:val="32"/>
          <w:szCs w:val="32"/>
        </w:rPr>
      </w:pPr>
      <w:r>
        <w:rPr>
          <w:rFonts w:eastAsia="仿宋_GB2312"/>
          <w:b/>
          <w:bCs/>
          <w:sz w:val="32"/>
          <w:szCs w:val="32"/>
        </w:rPr>
        <w:t>3、资金投入和使用情况</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（1）资金投入情况</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该项目年初预算数139万元，全年预算数139万元，实际总投入139万元，该项目资金已全部落实到位</w:t>
      </w:r>
      <w:r>
        <w:rPr>
          <w:rFonts w:hint="eastAsia" w:ascii="仿宋_GB2312" w:hAnsi="仿宋_GB2312" w:eastAsia="仿宋_GB2312" w:cs="仿宋_GB2312"/>
          <w:color w:val="auto"/>
          <w:sz w:val="32"/>
          <w:szCs w:val="32"/>
        </w:rPr>
        <w:t>139万元，</w:t>
      </w:r>
      <w:r>
        <w:rPr>
          <w:rFonts w:hint="eastAsia" w:ascii="仿宋_GB2312" w:hAnsi="仿宋_GB2312" w:eastAsia="仿宋_GB2312" w:cs="仿宋_GB2312"/>
          <w:sz w:val="32"/>
          <w:szCs w:val="32"/>
        </w:rPr>
        <w:t>资金来源为财政拨款自治区专项资金。</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（2）资金使用情况</w:t>
      </w:r>
    </w:p>
    <w:p>
      <w:pPr>
        <w:spacing w:line="560" w:lineRule="exact"/>
        <w:ind w:firstLine="640" w:firstLineChars="200"/>
        <w:rPr>
          <w:rFonts w:ascii="仿宋_GB2312" w:hAnsi="仿宋_GB2312" w:eastAsia="仿宋_GB2312" w:cs="仿宋_GB2312"/>
          <w:sz w:val="30"/>
          <w:szCs w:val="30"/>
        </w:rPr>
      </w:pPr>
      <w:r>
        <w:rPr>
          <w:rFonts w:hint="eastAsia" w:ascii="仿宋_GB2312" w:hAnsi="仿宋_GB2312" w:eastAsia="仿宋_GB2312" w:cs="仿宋_GB2312"/>
          <w:sz w:val="32"/>
          <w:szCs w:val="32"/>
        </w:rPr>
        <w:t>该项目年初预算数139万元，全年预算数139万元,，全年执行数139万元，预算执行率为100%%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0"/>
          <w:szCs w:val="30"/>
        </w:rPr>
        <w:t>参加重大节庆演出文化交流、慰问演出和文化恵民</w:t>
      </w:r>
      <w:r>
        <w:rPr>
          <w:rFonts w:hint="eastAsia" w:ascii="仿宋_GB2312" w:hAnsi="仿宋_GB2312" w:eastAsia="仿宋_GB2312" w:cs="仿宋_GB2312"/>
          <w:sz w:val="30"/>
          <w:szCs w:val="30"/>
          <w:lang w:val="en-US" w:eastAsia="zh-CN"/>
        </w:rPr>
        <w:t>以及</w:t>
      </w:r>
      <w:r>
        <w:rPr>
          <w:rFonts w:hint="eastAsia" w:ascii="仿宋_GB2312" w:hAnsi="仿宋_GB2312" w:eastAsia="仿宋_GB2312" w:cs="仿宋_GB2312"/>
          <w:sz w:val="30"/>
          <w:szCs w:val="30"/>
        </w:rPr>
        <w:t>公益性演出等活动</w:t>
      </w:r>
      <w:r>
        <w:rPr>
          <w:rFonts w:hint="eastAsia" w:ascii="仿宋_GB2312" w:hAnsi="仿宋_GB2312" w:eastAsia="仿宋_GB2312" w:cs="仿宋_GB2312"/>
          <w:sz w:val="30"/>
          <w:szCs w:val="30"/>
          <w:lang w:eastAsia="zh-CN"/>
        </w:rPr>
        <w:t>、</w:t>
      </w:r>
      <w:r>
        <w:rPr>
          <w:rFonts w:ascii="仿宋_GB2312" w:hAnsi="仿宋_GB2312" w:eastAsia="仿宋_GB2312" w:cs="仿宋_GB2312"/>
          <w:sz w:val="30"/>
          <w:szCs w:val="30"/>
        </w:rPr>
        <w:t>弥补</w:t>
      </w:r>
      <w:r>
        <w:rPr>
          <w:rFonts w:hint="eastAsia" w:ascii="仿宋_GB2312" w:hAnsi="仿宋_GB2312" w:eastAsia="仿宋_GB2312" w:cs="仿宋_GB2312"/>
          <w:sz w:val="30"/>
          <w:szCs w:val="30"/>
          <w:lang w:val="en-US" w:eastAsia="zh-CN"/>
        </w:rPr>
        <w:t>在职</w:t>
      </w:r>
      <w:r>
        <w:rPr>
          <w:rFonts w:ascii="仿宋_GB2312" w:hAnsi="仿宋_GB2312" w:eastAsia="仿宋_GB2312" w:cs="仿宋_GB2312"/>
          <w:sz w:val="30"/>
          <w:szCs w:val="30"/>
        </w:rPr>
        <w:t>职工绩效</w:t>
      </w:r>
      <w:r>
        <w:rPr>
          <w:rFonts w:hint="eastAsia" w:ascii="仿宋_GB2312" w:hAnsi="仿宋_GB2312" w:eastAsia="仿宋_GB2312" w:cs="仿宋_GB2312"/>
          <w:sz w:val="30"/>
          <w:szCs w:val="30"/>
        </w:rPr>
        <w:t>工资</w:t>
      </w:r>
      <w:r>
        <w:rPr>
          <w:rFonts w:hint="eastAsia" w:ascii="仿宋_GB2312" w:hAnsi="仿宋_GB2312" w:eastAsia="仿宋_GB2312" w:cs="仿宋_GB2312"/>
          <w:sz w:val="30"/>
          <w:szCs w:val="30"/>
          <w:lang w:val="en-US" w:eastAsia="zh-CN"/>
        </w:rPr>
        <w:t>及</w:t>
      </w:r>
      <w:r>
        <w:rPr>
          <w:rFonts w:ascii="仿宋_GB2312" w:hAnsi="仿宋_GB2312" w:eastAsia="仿宋_GB2312" w:cs="仿宋_GB2312"/>
          <w:sz w:val="30"/>
          <w:szCs w:val="30"/>
        </w:rPr>
        <w:t>社保的不足</w:t>
      </w:r>
      <w:r>
        <w:rPr>
          <w:rFonts w:hint="eastAsia" w:ascii="仿宋_GB2312" w:hAnsi="仿宋_GB2312" w:eastAsia="仿宋_GB2312" w:cs="仿宋_GB2312"/>
          <w:sz w:val="30"/>
          <w:szCs w:val="30"/>
          <w:lang w:eastAsia="zh-CN"/>
        </w:rPr>
        <w:t>。</w:t>
      </w:r>
    </w:p>
    <w:p>
      <w:pPr>
        <w:spacing w:line="560" w:lineRule="exact"/>
        <w:ind w:firstLine="642" w:firstLineChars="200"/>
        <w:rPr>
          <w:rFonts w:eastAsia="楷体_GB2312"/>
          <w:b/>
          <w:bCs/>
          <w:sz w:val="32"/>
          <w:szCs w:val="32"/>
        </w:rPr>
      </w:pPr>
      <w:r>
        <w:rPr>
          <w:rFonts w:eastAsia="楷体_GB2312"/>
          <w:b/>
          <w:bCs/>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1、总体目标</w:t>
      </w:r>
      <w:r>
        <w:rPr>
          <w:rFonts w:hint="eastAsia" w:eastAsia="仿宋_GB2312"/>
          <w:sz w:val="32"/>
          <w:szCs w:val="32"/>
        </w:rPr>
        <w:t>：</w:t>
      </w:r>
    </w:p>
    <w:p>
      <w:pPr>
        <w:spacing w:line="560" w:lineRule="exact"/>
        <w:ind w:firstLine="320" w:firstLineChars="100"/>
        <w:rPr>
          <w:rFonts w:eastAsia="仿宋_GB2312"/>
          <w:sz w:val="32"/>
          <w:szCs w:val="32"/>
        </w:rPr>
      </w:pPr>
      <w:r>
        <w:rPr>
          <w:rFonts w:hint="eastAsia" w:eastAsia="仿宋_GB2312"/>
          <w:sz w:val="32"/>
          <w:szCs w:val="32"/>
        </w:rPr>
        <w:t>依据新财教【2016】238号关于印发《新疆维吾尔自治区区级文艺院团政府购买演出管理办法》的通知，文件中第二条政府购买演出的范围包括:自治区党委、人大、政府、政协、国家有关部委安排的由各院团参加的重大节庆演出文化交流、慰问演出和文化恵民等政治性、公益性演出等活动。第四条，政府购买演出补助资金优先用于自治区文艺院团在职人员绩效工资发放和缴纳基本养老保险、职业年金、并可用于演出活动所产生的节目创作、演出服装购置、演出设备租用和维护等开支。第七条建立政府购买演出机制后，自治区级文艺院团应按照自治区规范津贴补贴以及事业单位人员养老保险有关政策，确保在职人员绩效工资的发放和基本养老保险，职业年金缴纳。在此基础上，自治区文艺团内可建立和完善奖励机制。2022年计划下乡演出200场，主要用于演出聘用人员劳务费54.58万元、购置设备4.42万元，弥补在职、聘用人员绩效奖金、精神文明及平安单位奖等人员经费80万元，总成本139万元。</w:t>
      </w:r>
    </w:p>
    <w:p>
      <w:pPr>
        <w:spacing w:line="560" w:lineRule="exact"/>
        <w:ind w:firstLine="640" w:firstLineChars="200"/>
        <w:rPr>
          <w:rFonts w:ascii="仿宋_GB2312" w:hAnsi="仿宋_GB2312" w:eastAsia="仿宋_GB2312" w:cs="仿宋_GB2312"/>
          <w:color w:val="FF0000"/>
          <w:sz w:val="30"/>
          <w:szCs w:val="30"/>
        </w:rPr>
      </w:pPr>
      <w:r>
        <w:rPr>
          <w:rFonts w:eastAsia="仿宋_GB2312"/>
          <w:sz w:val="32"/>
          <w:szCs w:val="32"/>
        </w:rPr>
        <w:t>2、阶段性目标</w:t>
      </w:r>
      <w:r>
        <w:rPr>
          <w:rFonts w:hint="eastAsia" w:eastAsia="仿宋_GB2312"/>
          <w:sz w:val="32"/>
          <w:szCs w:val="32"/>
        </w:rPr>
        <w:t>：</w:t>
      </w:r>
    </w:p>
    <w:p>
      <w:pPr>
        <w:spacing w:line="560" w:lineRule="exact"/>
        <w:ind w:firstLine="320" w:firstLineChars="100"/>
        <w:rPr>
          <w:rFonts w:eastAsia="仿宋_GB2312"/>
          <w:sz w:val="32"/>
          <w:szCs w:val="32"/>
        </w:rPr>
      </w:pPr>
      <w:r>
        <w:rPr>
          <w:rFonts w:hint="eastAsia" w:eastAsia="仿宋_GB2312"/>
          <w:sz w:val="32"/>
          <w:szCs w:val="32"/>
        </w:rPr>
        <w:t>自治区</w:t>
      </w:r>
      <w:r>
        <w:rPr>
          <w:rFonts w:eastAsia="仿宋_GB2312"/>
          <w:sz w:val="32"/>
          <w:szCs w:val="32"/>
        </w:rPr>
        <w:t>政府购买演出</w:t>
      </w:r>
      <w:r>
        <w:rPr>
          <w:rFonts w:hint="eastAsia" w:eastAsia="仿宋_GB2312"/>
          <w:sz w:val="32"/>
          <w:szCs w:val="32"/>
        </w:rPr>
        <w:t>项目</w:t>
      </w:r>
      <w:r>
        <w:rPr>
          <w:rFonts w:eastAsia="仿宋_GB2312"/>
          <w:sz w:val="32"/>
          <w:szCs w:val="32"/>
        </w:rPr>
        <w:t>资金优先用于</w:t>
      </w:r>
      <w:r>
        <w:rPr>
          <w:rFonts w:hint="eastAsia" w:eastAsia="仿宋_GB2312"/>
          <w:sz w:val="32"/>
          <w:szCs w:val="32"/>
        </w:rPr>
        <w:t>我单位</w:t>
      </w:r>
      <w:r>
        <w:rPr>
          <w:rFonts w:eastAsia="仿宋_GB2312"/>
          <w:sz w:val="32"/>
          <w:szCs w:val="32"/>
        </w:rPr>
        <w:t>在职人员绩效工资发放和缴纳基本养老保险、职业年金，并用于演出活动所产生的节目创作、、演出设备租用和维护等开支。</w:t>
      </w:r>
      <w:r>
        <w:rPr>
          <w:rFonts w:hint="eastAsia" w:eastAsia="仿宋_GB2312"/>
          <w:sz w:val="32"/>
          <w:szCs w:val="32"/>
        </w:rPr>
        <w:t>保证我单位演出活动的正常运转，调动演职人员的积极性，提升演出质量，增强其公共文化服务能力。</w:t>
      </w:r>
    </w:p>
    <w:p>
      <w:pPr>
        <w:spacing w:line="560" w:lineRule="exact"/>
        <w:ind w:firstLine="640" w:firstLineChars="200"/>
        <w:rPr>
          <w:rFonts w:eastAsia="黑体"/>
          <w:sz w:val="32"/>
          <w:szCs w:val="32"/>
        </w:rPr>
      </w:pPr>
      <w:r>
        <w:rPr>
          <w:rFonts w:eastAsia="黑体"/>
          <w:sz w:val="32"/>
          <w:szCs w:val="32"/>
        </w:rPr>
        <w:t>二、绩效评价工作开展情况</w:t>
      </w:r>
    </w:p>
    <w:p>
      <w:pPr>
        <w:spacing w:line="560" w:lineRule="exact"/>
        <w:ind w:firstLine="642" w:firstLineChars="200"/>
        <w:rPr>
          <w:rFonts w:eastAsia="楷体_GB2312"/>
          <w:b/>
          <w:bCs/>
          <w:sz w:val="32"/>
          <w:szCs w:val="32"/>
        </w:rPr>
      </w:pPr>
      <w:r>
        <w:rPr>
          <w:rFonts w:eastAsia="楷体_GB2312"/>
          <w:b/>
          <w:bCs/>
          <w:sz w:val="32"/>
          <w:szCs w:val="32"/>
        </w:rPr>
        <w:t>（一）绩效评价目的、对象和范围</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1、绩效评价的目的</w:t>
      </w:r>
    </w:p>
    <w:p>
      <w:pPr>
        <w:spacing w:line="560" w:lineRule="exact"/>
        <w:ind w:firstLine="640" w:firstLineChars="200"/>
        <w:rPr>
          <w:rFonts w:eastAsia="方正仿宋_GBK" w:cs="方正仿宋_GBK"/>
          <w:sz w:val="32"/>
          <w:szCs w:val="32"/>
        </w:rPr>
      </w:pPr>
      <w:r>
        <w:rPr>
          <w:rFonts w:eastAsia="仿宋_GB2312"/>
          <w:sz w:val="32"/>
          <w:szCs w:val="32"/>
        </w:rPr>
        <w:t>通过开展有效的财政支出绩效评价管理，</w:t>
      </w:r>
      <w:r>
        <w:rPr>
          <w:rFonts w:hint="eastAsia" w:eastAsia="仿宋_GB2312"/>
          <w:sz w:val="32"/>
          <w:szCs w:val="32"/>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2、绩效评价的对象</w:t>
      </w:r>
    </w:p>
    <w:p>
      <w:pPr>
        <w:spacing w:line="560" w:lineRule="exact"/>
        <w:ind w:firstLine="600" w:firstLineChars="200"/>
        <w:rPr>
          <w:rFonts w:ascii="仿宋_GB2312" w:hAnsi="仿宋_GB2312" w:eastAsia="仿宋_GB2312" w:cs="仿宋_GB2312"/>
          <w:sz w:val="32"/>
          <w:szCs w:val="32"/>
        </w:rPr>
      </w:pPr>
      <w:r>
        <w:rPr>
          <w:rFonts w:hint="eastAsia" w:ascii="仿宋_GB2312" w:hAnsi="仿宋_GB2312" w:eastAsia="仿宋_GB2312" w:cs="仿宋_GB2312"/>
          <w:sz w:val="30"/>
          <w:szCs w:val="30"/>
        </w:rPr>
        <w:t>自治区政府购买文化演出</w:t>
      </w:r>
      <w:r>
        <w:rPr>
          <w:rFonts w:hint="eastAsia" w:ascii="仿宋_GB2312" w:hAnsi="仿宋_GB2312" w:eastAsia="仿宋_GB2312" w:cs="仿宋_GB2312"/>
          <w:sz w:val="32"/>
          <w:szCs w:val="32"/>
        </w:rPr>
        <w:t>项目所包含的全部项目内容。</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3、绩效评价的范围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本次评价从项目决策（包括绩效目标、决策过程）、项目管理（包括项目资金、项目实施）、项目产出（包括项目产出数量、产出质量、产出时效和产出成本）项目效益四个维度对</w:t>
      </w:r>
      <w:r>
        <w:rPr>
          <w:rFonts w:hint="eastAsia" w:ascii="仿宋_GB2312" w:hAnsi="仿宋_GB2312" w:eastAsia="仿宋_GB2312" w:cs="仿宋_GB2312"/>
          <w:sz w:val="30"/>
          <w:szCs w:val="30"/>
        </w:rPr>
        <w:t>自治区政府购买文化演出</w:t>
      </w:r>
      <w:r>
        <w:rPr>
          <w:rFonts w:hint="eastAsia" w:ascii="仿宋_GB2312" w:hAnsi="仿宋_GB2312" w:eastAsia="仿宋_GB2312" w:cs="仿宋_GB2312"/>
          <w:sz w:val="32"/>
          <w:szCs w:val="32"/>
        </w:rPr>
        <w:t>项目进行评价，评价核心为专项资金的支出完成情况和效果。</w:t>
      </w:r>
    </w:p>
    <w:p>
      <w:pPr>
        <w:spacing w:line="560" w:lineRule="exact"/>
        <w:ind w:firstLine="642" w:firstLineChars="200"/>
      </w:pPr>
      <w:r>
        <w:rPr>
          <w:rFonts w:eastAsia="楷体_GB2312"/>
          <w:b/>
          <w:bCs/>
          <w:sz w:val="32"/>
          <w:szCs w:val="32"/>
        </w:rPr>
        <w:t>（二）绩效评价原则、评价指标体系（详情见表1）、评价方法、评价标准。</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1、绩效评价原则</w:t>
      </w:r>
    </w:p>
    <w:p>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2、评价指标体系</w:t>
      </w:r>
    </w:p>
    <w:p>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（1）确定评价指标</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（2）确定权重</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708" w:firstLineChars="200"/>
        <w:jc w:val="both"/>
        <w:rPr>
          <w:rFonts w:ascii="Times New Roman" w:hAnsi="Times New Roman" w:eastAsia="仿宋_GB2312"/>
          <w:b w:val="0"/>
          <w:bCs w:val="0"/>
          <w:color w:val="000000"/>
          <w:spacing w:val="17"/>
          <w:kern w:val="2"/>
        </w:rPr>
      </w:pPr>
      <w:r>
        <w:rPr>
          <w:rFonts w:ascii="Times New Roman" w:hAnsi="Times New Roman" w:eastAsia="仿宋_GB2312"/>
          <w:b w:val="0"/>
          <w:bCs w:val="0"/>
          <w:color w:val="000000"/>
          <w:spacing w:val="17"/>
          <w:kern w:val="2"/>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具体评价指标体系详情见附件1</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（1）比较法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通过对绩效目标与实施效果、历史与当期情况，综合分析绩效目标实现程度。对</w:t>
      </w:r>
      <w:r>
        <w:rPr>
          <w:rFonts w:eastAsia="仿宋_GB2312"/>
          <w:sz w:val="32"/>
          <w:szCs w:val="32"/>
        </w:rPr>
        <w:t>项目</w:t>
      </w:r>
      <w:r>
        <w:rPr>
          <w:rFonts w:eastAsia="仿宋_GB2312"/>
          <w:color w:val="000000"/>
          <w:spacing w:val="17"/>
          <w:sz w:val="32"/>
          <w:szCs w:val="32"/>
        </w:rPr>
        <w:t>最终验收情况与年度绩效目标对比、预算资金执行情况等相关因素进行比较。</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（2）因素分析法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color w:val="000000"/>
          <w:spacing w:val="17"/>
          <w:sz w:val="32"/>
          <w:szCs w:val="32"/>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4、评价标准</w:t>
      </w:r>
    </w:p>
    <w:p>
      <w:pPr>
        <w:spacing w:line="560" w:lineRule="exact"/>
        <w:ind w:firstLine="708" w:firstLineChars="200"/>
        <w:rPr>
          <w:rFonts w:eastAsia="方正仿宋_GBK" w:cs="方正仿宋_GBK"/>
          <w:sz w:val="32"/>
          <w:szCs w:val="32"/>
        </w:rPr>
      </w:pPr>
      <w:r>
        <w:rPr>
          <w:rFonts w:hint="eastAsia" w:eastAsia="仿宋_GB2312"/>
          <w:color w:val="000000"/>
          <w:spacing w:val="17"/>
          <w:sz w:val="32"/>
          <w:szCs w:val="32"/>
        </w:rPr>
        <w:t>绩效评价标准通常包括计划标准、行业标准、历史标准等，用于对绩效指标完成情况进行比较、分析、评价。本次评价主要采用了历史标准标准。</w:t>
      </w:r>
      <w:bookmarkStart w:id="0" w:name="_Toc430"/>
      <w:bookmarkStart w:id="1" w:name="_Toc16028"/>
      <w:r>
        <w:rPr>
          <w:rFonts w:hint="eastAsia" w:eastAsia="仿宋_GB2312"/>
          <w:color w:val="000000"/>
          <w:spacing w:val="17"/>
          <w:sz w:val="32"/>
          <w:szCs w:val="32"/>
        </w:rPr>
        <w:t>参照历史数据制定的评价标准，为体现绩效改进的原则，在可实现的条件下确定相对较高的评价标准</w:t>
      </w:r>
      <w:r>
        <w:rPr>
          <w:rFonts w:hint="eastAsia" w:eastAsia="方正仿宋_GBK" w:cs="方正仿宋_GBK"/>
          <w:sz w:val="32"/>
          <w:szCs w:val="32"/>
        </w:rPr>
        <w:t>。</w:t>
      </w:r>
      <w:bookmarkEnd w:id="0"/>
      <w:bookmarkEnd w:id="1"/>
    </w:p>
    <w:p>
      <w:pPr>
        <w:pStyle w:val="2"/>
        <w:numPr>
          <w:ilvl w:val="0"/>
          <w:numId w:val="1"/>
        </w:numPr>
        <w:spacing w:before="0" w:after="0" w:line="560" w:lineRule="exact"/>
        <w:ind w:firstLine="710" w:firstLineChars="200"/>
        <w:jc w:val="both"/>
        <w:rPr>
          <w:rFonts w:ascii="楷体" w:hAnsi="楷体" w:eastAsia="楷体" w:cs="楷体"/>
          <w:color w:val="000000"/>
          <w:spacing w:val="17"/>
        </w:rPr>
      </w:pPr>
      <w:r>
        <w:rPr>
          <w:rFonts w:hint="eastAsia" w:ascii="楷体" w:hAnsi="楷体" w:eastAsia="楷体" w:cs="楷体"/>
          <w:color w:val="000000"/>
          <w:spacing w:val="17"/>
        </w:rPr>
        <w:t>绩效评价工作过程</w:t>
      </w:r>
    </w:p>
    <w:p>
      <w:pPr>
        <w:spacing w:line="560" w:lineRule="exact"/>
        <w:ind w:firstLine="640" w:firstLineChars="200"/>
        <w:rPr>
          <w:rFonts w:eastAsia="仿宋_GB2312"/>
          <w:bCs/>
          <w:sz w:val="32"/>
          <w:szCs w:val="32"/>
        </w:rPr>
      </w:pPr>
      <w:r>
        <w:rPr>
          <w:rFonts w:hint="eastAsia" w:eastAsia="仿宋_GB2312"/>
          <w:bCs/>
          <w:sz w:val="32"/>
          <w:szCs w:val="32"/>
        </w:rPr>
        <w:t>1.前期准备。首先成立评价工作组，开展前期调研；其次明确项目绩效目标，设计绩效评价指标体系并确定绩效评价方法；接着确定现场和非现场评价范围，设计资料清单；最后制定评价实施方案并进行论证。</w:t>
      </w:r>
    </w:p>
    <w:p>
      <w:pPr>
        <w:spacing w:line="560" w:lineRule="exact"/>
        <w:ind w:firstLine="640" w:firstLineChars="200"/>
        <w:rPr>
          <w:rFonts w:eastAsia="仿宋_GB2312"/>
          <w:bCs/>
          <w:sz w:val="32"/>
          <w:szCs w:val="32"/>
        </w:rPr>
      </w:pPr>
      <w:r>
        <w:rPr>
          <w:rFonts w:hint="eastAsia" w:eastAsia="仿宋_GB2312"/>
          <w:bCs/>
          <w:sz w:val="32"/>
          <w:szCs w:val="32"/>
        </w:rPr>
        <w:t>2.组织实施。制定绩效评价工作方案，具体包括项目概况、评价思路、方法手段、组织实施、进度安排等。收集项目立项依据、相关会议纪要、实施方案、财政资金分配方案、支付管理情况等相关评价资料并进行梳理。</w:t>
      </w:r>
    </w:p>
    <w:p>
      <w:pPr>
        <w:spacing w:line="560" w:lineRule="exact"/>
        <w:ind w:firstLine="640" w:firstLineChars="200"/>
        <w:rPr>
          <w:sz w:val="32"/>
          <w:szCs w:val="32"/>
        </w:rPr>
      </w:pPr>
      <w:r>
        <w:rPr>
          <w:rFonts w:hint="eastAsia" w:eastAsia="仿宋_GB2312"/>
          <w:bCs/>
          <w:sz w:val="32"/>
          <w:szCs w:val="32"/>
        </w:rPr>
        <w:t>3.分析评价。根据收集梳理的资料围绕项目立项、资金落实、业务管理、财务管理、项目产出、项目效益等内容，对照已确定的绩效评价指标进行详细全面的分析评价，逐项打分并形成绩效评价最终结果。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2"/>
        </w:numPr>
        <w:spacing w:line="560" w:lineRule="exact"/>
        <w:ind w:firstLine="640" w:firstLineChars="200"/>
        <w:rPr>
          <w:rFonts w:eastAsia="黑体"/>
          <w:sz w:val="32"/>
          <w:szCs w:val="32"/>
        </w:rPr>
      </w:pPr>
      <w:r>
        <w:rPr>
          <w:rFonts w:eastAsia="黑体"/>
          <w:sz w:val="32"/>
          <w:szCs w:val="32"/>
        </w:rPr>
        <w:t>综合评价情况及评价结论（附相关评分表）</w:t>
      </w:r>
    </w:p>
    <w:p>
      <w:pPr>
        <w:pStyle w:val="2"/>
        <w:spacing w:before="0" w:after="0" w:line="560" w:lineRule="exact"/>
        <w:ind w:firstLine="642" w:firstLineChars="200"/>
        <w:jc w:val="both"/>
        <w:rPr>
          <w:rFonts w:ascii="Times New Roman" w:hAnsi="Times New Roman" w:eastAsia="楷体_GB2312"/>
        </w:rPr>
      </w:pPr>
      <w:r>
        <w:rPr>
          <w:rFonts w:hint="eastAsia" w:ascii="Times New Roman" w:hAnsi="Times New Roman" w:eastAsia="楷体_GB2312"/>
        </w:rPr>
        <w:t>（一）评价情况</w:t>
      </w:r>
    </w:p>
    <w:p>
      <w:pPr>
        <w:spacing w:line="600" w:lineRule="exact"/>
        <w:ind w:firstLine="640" w:firstLineChars="200"/>
        <w:outlineLvl w:val="0"/>
        <w:rPr>
          <w:rFonts w:eastAsia="仿宋_GB2312"/>
          <w:kern w:val="28"/>
          <w:sz w:val="32"/>
          <w:szCs w:val="32"/>
        </w:rPr>
      </w:pPr>
      <w:r>
        <w:rPr>
          <w:rFonts w:hint="eastAsia" w:eastAsia="仿宋_GB2312"/>
          <w:kern w:val="28"/>
          <w:sz w:val="32"/>
          <w:szCs w:val="32"/>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spacing w:before="0" w:after="0" w:line="560" w:lineRule="exact"/>
        <w:ind w:firstLine="642" w:firstLineChars="200"/>
        <w:jc w:val="both"/>
        <w:rPr>
          <w:rFonts w:ascii="Times New Roman" w:hAnsi="Times New Roman" w:eastAsia="楷体_GB2312"/>
        </w:rPr>
      </w:pPr>
      <w:r>
        <w:rPr>
          <w:rFonts w:hint="eastAsia" w:ascii="Times New Roman" w:hAnsi="Times New Roman" w:eastAsia="楷体_GB2312"/>
        </w:rPr>
        <w:t>（二）评价结论</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hint="eastAsia"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eastAsia" w:ascii="Times New Roman" w:hAnsi="Times New Roman" w:eastAsia="仿宋_GB2312"/>
          <w:b w:val="0"/>
          <w:bCs w:val="0"/>
          <w:highlight w:val="none"/>
        </w:rPr>
        <w:t>总得分为</w:t>
      </w:r>
      <w:r>
        <w:rPr>
          <w:rFonts w:hint="eastAsia" w:ascii="Times New Roman" w:hAnsi="Times New Roman" w:eastAsia="仿宋_GB2312"/>
          <w:b w:val="0"/>
          <w:bCs w:val="0"/>
          <w:highlight w:val="none"/>
          <w:lang w:val="en-US" w:eastAsia="zh-CN"/>
        </w:rPr>
        <w:t>98</w:t>
      </w:r>
      <w:r>
        <w:rPr>
          <w:rFonts w:hint="eastAsia" w:ascii="Times New Roman" w:hAnsi="Times New Roman" w:eastAsia="仿宋_GB2312"/>
          <w:b w:val="0"/>
          <w:bCs w:val="0"/>
          <w:highlight w:val="none"/>
        </w:rPr>
        <w:t>分，属于“优”。其中，项目决策类指标权重为20分，得分为20分，得分率为100%。项目过程类指标权重为20分，得分为20分，得分率为100%。项目产出类指标权重为40分，得分为3</w:t>
      </w:r>
      <w:r>
        <w:rPr>
          <w:rFonts w:hint="eastAsia" w:ascii="Times New Roman" w:hAnsi="Times New Roman" w:eastAsia="仿宋_GB2312"/>
          <w:b w:val="0"/>
          <w:bCs w:val="0"/>
          <w:highlight w:val="none"/>
          <w:lang w:val="en-US" w:eastAsia="zh-CN"/>
        </w:rPr>
        <w:t>8</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95</w:t>
      </w:r>
      <w:r>
        <w:rPr>
          <w:rFonts w:hint="eastAsia" w:ascii="Times New Roman" w:hAnsi="Times New Roman" w:eastAsia="仿宋_GB2312"/>
          <w:b w:val="0"/>
          <w:bCs w:val="0"/>
          <w:highlight w:val="none"/>
        </w:rPr>
        <w:t>%。项目效益类指标权重为20分，得分为20分，得分率为100%。具体打分情况详见：附件1综合评分表。</w:t>
      </w:r>
    </w:p>
    <w:p>
      <w:pPr>
        <w:pStyle w:val="2"/>
        <w:spacing w:before="0" w:after="0"/>
        <w:rPr>
          <w:rFonts w:ascii="Times New Roman" w:hAnsi="Times New Roman" w:eastAsia="仿宋_GB2312"/>
          <w:sz w:val="30"/>
          <w:szCs w:val="30"/>
          <w:highlight w:val="none"/>
        </w:rPr>
      </w:pPr>
      <w:r>
        <w:rPr>
          <w:rFonts w:ascii="Times New Roman" w:hAnsi="Times New Roman" w:eastAsia="仿宋_GB2312"/>
          <w:sz w:val="30"/>
          <w:szCs w:val="30"/>
          <w:highlight w:val="none"/>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c>
          <w:tcPr>
            <w:tcW w:w="227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c>
          <w:tcPr>
            <w:tcW w:w="227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38</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c>
          <w:tcPr>
            <w:tcW w:w="227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rPr>
            </w:pPr>
            <w:r>
              <w:rPr>
                <w:rFonts w:hint="eastAsia" w:cs="宋体"/>
                <w:b/>
                <w:bCs/>
                <w:color w:val="000000"/>
                <w:sz w:val="22"/>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b/>
                <w:bCs/>
                <w:color w:val="000000"/>
                <w:sz w:val="22"/>
              </w:rPr>
            </w:pPr>
            <w:r>
              <w:rPr>
                <w:rFonts w:hint="eastAsia"/>
                <w:b/>
                <w:bCs/>
                <w:color w:val="000000"/>
                <w:sz w:val="22"/>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98</w:t>
            </w:r>
          </w:p>
        </w:tc>
      </w:tr>
    </w:tbl>
    <w:p>
      <w:pPr>
        <w:spacing w:line="560" w:lineRule="exact"/>
        <w:ind w:firstLine="640" w:firstLineChars="200"/>
        <w:rPr>
          <w:rFonts w:eastAsia="黑体"/>
          <w:sz w:val="32"/>
          <w:szCs w:val="32"/>
        </w:rPr>
      </w:pPr>
      <w:r>
        <w:rPr>
          <w:rFonts w:eastAsia="黑体"/>
          <w:sz w:val="32"/>
          <w:szCs w:val="32"/>
        </w:rPr>
        <w:t>四、绩效评价指标分析</w:t>
      </w:r>
    </w:p>
    <w:p>
      <w:pPr>
        <w:pStyle w:val="2"/>
        <w:spacing w:before="0" w:after="0" w:line="560" w:lineRule="exact"/>
        <w:ind w:firstLine="642" w:firstLineChars="200"/>
        <w:jc w:val="both"/>
        <w:rPr>
          <w:rFonts w:ascii="Times New Roman" w:hAnsi="Times New Roman" w:eastAsia="楷体_GB2312"/>
        </w:rPr>
      </w:pPr>
      <w:r>
        <w:rPr>
          <w:rFonts w:ascii="Times New Roman" w:hAnsi="Times New Roman" w:eastAsia="楷体_GB2312"/>
        </w:rPr>
        <w:t>（一）项目决策情况</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项目决策类指标包括项目立项、绩效目标和资金投入三方面的内容，由6个三级指标构成，权重分值为20分，实际得分20分，得分率为100%。</w:t>
      </w:r>
    </w:p>
    <w:p>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1.项目立项</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（1）立项依据充分性</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（2）立项程序规范性</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申请、设立过程符合相关要求，严格按照审批流程准备符合要求的文件、材料；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2.绩效目标</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（1）绩效目标合理性</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年初结合实际工作内容设定绩效目标，绩效目标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（2）绩效指标明确性</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项目设置了明确的预期产出效益和效果，将绩效目标细化分解为具体的绩效指标，绩效目标与项目目标任务数相对应，绩效目标设定的绩效指标清晰、细化、可衡量。</w:t>
      </w:r>
    </w:p>
    <w:p>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3.资金投入</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（1）预算编制科学性</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实际支出</w:t>
      </w:r>
      <w:r>
        <w:rPr>
          <w:rFonts w:hint="eastAsia" w:ascii="仿宋_GB2312" w:hAnsi="仿宋_GB2312" w:eastAsia="仿宋_GB2312" w:cs="仿宋_GB2312"/>
          <w:sz w:val="32"/>
          <w:szCs w:val="32"/>
          <w:lang w:val="en-US" w:eastAsia="zh-CN"/>
        </w:rPr>
        <w:t>139万元，严格</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预算编制提供充分的测算依据，科学编制，预算与项目执行一致。</w:t>
      </w:r>
    </w:p>
    <w:p>
      <w:pPr>
        <w:spacing w:line="6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（2）资金分配合理性</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我单位项目资金总投入139万元，项目资金实际支出139万元，资金分配与项目资金支出相符合，资金分配合理。</w:t>
      </w:r>
    </w:p>
    <w:p>
      <w:pPr>
        <w:pStyle w:val="2"/>
        <w:numPr>
          <w:ilvl w:val="0"/>
          <w:numId w:val="3"/>
        </w:numPr>
        <w:spacing w:before="0" w:after="0" w:line="560" w:lineRule="exact"/>
        <w:ind w:firstLine="642" w:firstLineChars="200"/>
        <w:jc w:val="both"/>
        <w:rPr>
          <w:rFonts w:ascii="楷体" w:hAnsi="楷体" w:eastAsia="楷体" w:cs="楷体"/>
        </w:rPr>
      </w:pPr>
      <w:r>
        <w:rPr>
          <w:rFonts w:hint="eastAsia" w:ascii="楷体" w:hAnsi="楷体" w:eastAsia="楷体" w:cs="楷体"/>
        </w:rPr>
        <w:t>项目过程情况</w:t>
      </w:r>
    </w:p>
    <w:p>
      <w:pPr>
        <w:spacing w:line="6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项目过程类指标包括资金管理和组织实施两方面的内容，由5个三级指标构成，权重分值为20分，</w:t>
      </w:r>
      <w:r>
        <w:rPr>
          <w:rFonts w:hint="eastAsia" w:ascii="仿宋_GB2312" w:hAnsi="仿宋_GB2312" w:eastAsia="仿宋_GB2312" w:cs="仿宋_GB2312"/>
          <w:sz w:val="32"/>
          <w:szCs w:val="32"/>
          <w:highlight w:val="none"/>
        </w:rPr>
        <w:t>实际得分20分，得分率为100%。</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1.资金管理</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（1）资金到位率</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本项目总投资139万元，财政资金及时足额到位，到位率100%，预算资金按计划进度执行。</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（2）预算执行率</w:t>
      </w:r>
    </w:p>
    <w:p>
      <w:pPr>
        <w:spacing w:line="6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预算编制较为详细，项目资金支出总体能够按照预算执行，</w:t>
      </w:r>
      <w:r>
        <w:rPr>
          <w:rFonts w:hint="eastAsia" w:ascii="仿宋_GB2312" w:hAnsi="仿宋_GB2312" w:eastAsia="仿宋_GB2312" w:cs="仿宋_GB2312"/>
          <w:sz w:val="32"/>
          <w:szCs w:val="32"/>
          <w:highlight w:val="none"/>
        </w:rPr>
        <w:t>预算资金支出139万元，预算执行率为100%。</w:t>
      </w:r>
    </w:p>
    <w:p>
      <w:pPr>
        <w:spacing w:line="6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（3）资金使用合规性</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总投资139万元，按照单位财务制度等相关规定依据新财教【2016】238号关于印发《新疆维吾尔自治区区级文艺院团政府购买演出管理办法》的通知专项资金费用范围，在项目资金拨付和使用过程中，严格遵循自治区政府购买演出项目资金的拨付程序，认真审核项目实施各阶段的相关材料和手续，根据项目实施进展情况拨付资金。资金使用过程中将完全按照事前严格预算管理、事中监督执行、事后监管与评价相结合的原则。严格按照不同资金额度的不同审批权限，进行资金审批和支付，发挥财政资金使用的最大效能，合规合法的使用此专项资金。</w:t>
      </w:r>
    </w:p>
    <w:p>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2.组织实施</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用实、用好、发挥效能的原则，我单位在资金管理上注重考评制度和考核程序的建立和完善，由团党委研究决定，建章立制，执行专款专用的原则，严格按照国家、自治区的相关规定开展工作。专款专用以制度加强管理，发挥财政资金最大效益。</w:t>
      </w:r>
    </w:p>
    <w:p>
      <w:pPr>
        <w:shd w:val="clear"/>
        <w:spacing w:line="600" w:lineRule="exact"/>
        <w:ind w:firstLine="320" w:firstLineChars="1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（2）制度执行有效性</w:t>
      </w:r>
    </w:p>
    <w:p>
      <w:pPr>
        <w:spacing w:line="6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对资金使用的合法合规</w:t>
      </w:r>
      <w:r>
        <w:rPr>
          <w:rFonts w:hint="eastAsia" w:ascii="仿宋_GB2312" w:hAnsi="仿宋_GB2312" w:eastAsia="仿宋_GB2312" w:cs="仿宋_GB2312"/>
          <w:sz w:val="32"/>
          <w:szCs w:val="32"/>
          <w:highlight w:val="none"/>
          <w:lang w:val="en-US" w:eastAsia="zh-CN"/>
        </w:rPr>
        <w:t>合理</w:t>
      </w:r>
      <w:r>
        <w:rPr>
          <w:rFonts w:hint="eastAsia" w:ascii="仿宋_GB2312" w:hAnsi="仿宋_GB2312" w:eastAsia="仿宋_GB2312" w:cs="仿宋_GB2312"/>
          <w:sz w:val="32"/>
          <w:szCs w:val="32"/>
          <w:highlight w:val="none"/>
        </w:rPr>
        <w:t>性进行监督，年末</w:t>
      </w:r>
      <w:r>
        <w:rPr>
          <w:rFonts w:hint="eastAsia" w:ascii="仿宋_GB2312" w:hAnsi="仿宋_GB2312" w:eastAsia="仿宋_GB2312" w:cs="仿宋_GB2312"/>
          <w:sz w:val="32"/>
          <w:szCs w:val="32"/>
          <w:highlight w:val="none"/>
          <w:lang w:val="en-US" w:eastAsia="zh-CN"/>
        </w:rPr>
        <w:t>认真填写项目支出绩效目标自评表，撰写专项资金管理使用的新疆财政项目支出绩效自评报告，</w:t>
      </w:r>
      <w:r>
        <w:rPr>
          <w:rFonts w:hint="eastAsia" w:ascii="仿宋_GB2312" w:hAnsi="仿宋_GB2312" w:eastAsia="仿宋_GB2312" w:cs="仿宋_GB2312"/>
          <w:sz w:val="32"/>
          <w:szCs w:val="32"/>
          <w:highlight w:val="none"/>
        </w:rPr>
        <w:t>对资金使用效果进行评价</w:t>
      </w:r>
      <w:r>
        <w:rPr>
          <w:rFonts w:hint="eastAsia" w:ascii="仿宋_GB2312" w:hAnsi="仿宋_GB2312" w:eastAsia="仿宋_GB2312" w:cs="仿宋_GB2312"/>
          <w:sz w:val="32"/>
          <w:szCs w:val="32"/>
          <w:highlight w:val="none"/>
          <w:lang w:val="en-US" w:eastAsia="zh-CN"/>
        </w:rPr>
        <w:t>报告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项目实施管理制度健全</w:t>
      </w:r>
      <w:r>
        <w:rPr>
          <w:rFonts w:hint="eastAsia" w:ascii="仿宋_GB2312" w:hAnsi="仿宋_GB2312" w:eastAsia="仿宋_GB2312" w:cs="仿宋_GB2312"/>
          <w:sz w:val="32"/>
          <w:szCs w:val="32"/>
          <w:highlight w:val="none"/>
        </w:rPr>
        <w:t>落实到位，有效按照计划执行。</w:t>
      </w:r>
    </w:p>
    <w:p>
      <w:pPr>
        <w:pStyle w:val="11"/>
        <w:numPr>
          <w:ilvl w:val="0"/>
          <w:numId w:val="3"/>
        </w:numPr>
        <w:spacing w:line="560" w:lineRule="exact"/>
        <w:ind w:firstLine="643"/>
        <w:rPr>
          <w:rFonts w:eastAsia="楷体_GB2312"/>
          <w:b/>
          <w:bCs/>
          <w:sz w:val="32"/>
          <w:szCs w:val="32"/>
        </w:rPr>
      </w:pPr>
      <w:r>
        <w:rPr>
          <w:rFonts w:eastAsia="楷体_GB2312"/>
          <w:b/>
          <w:bCs/>
          <w:sz w:val="32"/>
          <w:szCs w:val="32"/>
        </w:rPr>
        <w:t>项目产出</w:t>
      </w:r>
      <w:r>
        <w:rPr>
          <w:rFonts w:hint="eastAsia" w:eastAsia="楷体_GB2312"/>
          <w:b/>
          <w:bCs/>
          <w:sz w:val="32"/>
          <w:szCs w:val="32"/>
        </w:rPr>
        <w:t>情况</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项目产出类指标包括产出数量、产出质量、产出时效、产出成本四方面的内容，由11个三级指标构成，权重分为40分，</w:t>
      </w:r>
      <w:r>
        <w:rPr>
          <w:rFonts w:hint="eastAsia" w:ascii="仿宋_GB2312" w:hAnsi="仿宋_GB2312" w:eastAsia="仿宋_GB2312" w:cs="仿宋_GB2312"/>
          <w:sz w:val="32"/>
          <w:szCs w:val="32"/>
          <w:highlight w:val="none"/>
        </w:rPr>
        <w:t>实际得分3</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分，得分率为</w:t>
      </w:r>
      <w:r>
        <w:rPr>
          <w:rFonts w:hint="eastAsia" w:ascii="仿宋_GB2312" w:hAnsi="仿宋_GB2312" w:eastAsia="仿宋_GB2312" w:cs="仿宋_GB2312"/>
          <w:sz w:val="32"/>
          <w:szCs w:val="32"/>
          <w:highlight w:val="none"/>
          <w:lang w:val="en-US" w:eastAsia="zh-CN"/>
        </w:rPr>
        <w:t>95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具体产出指标完成情况如下：</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数量指标：</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指标1：大型演出场数，指标值：5场次，实际完成值：7场次，指标完成率100%。</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指标2：小型演出场数，指标值：200场次，实际完成值：0场次，指标完成率0%、偏差原因：因8月初至12月初受疫情防控要求，我单位计划下半年赴南疆小型惠民演出200场未如期展开，未完成惠民演出任务。</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指标3：每场演出副高以上职称演员参与人数，指标值：3人，实际完成值：5人，指标完成率100%。</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指标4：</w:t>
      </w:r>
      <w:r>
        <w:rPr>
          <w:rFonts w:hint="eastAsia" w:ascii="仿宋_GB2312" w:hAnsi="仿宋_GB2312" w:eastAsia="仿宋_GB2312" w:cs="仿宋_GB2312"/>
          <w:sz w:val="32"/>
          <w:szCs w:val="32"/>
          <w:lang w:val="en-US" w:eastAsia="zh-CN"/>
        </w:rPr>
        <w:t>演出报道场数</w:t>
      </w:r>
      <w:r>
        <w:rPr>
          <w:rFonts w:hint="eastAsia" w:ascii="仿宋_GB2312" w:hAnsi="仿宋_GB2312" w:eastAsia="仿宋_GB2312" w:cs="仿宋_GB2312"/>
          <w:sz w:val="32"/>
          <w:szCs w:val="32"/>
        </w:rPr>
        <w:t>，指标值</w:t>
      </w:r>
      <w:r>
        <w:rPr>
          <w:rFonts w:hint="eastAsia" w:ascii="仿宋_GB2312" w:hAnsi="仿宋_GB2312" w:eastAsia="仿宋_GB2312" w:cs="仿宋_GB2312"/>
          <w:sz w:val="32"/>
          <w:szCs w:val="32"/>
          <w:lang w:val="en-US" w:eastAsia="zh-CN"/>
        </w:rPr>
        <w:t>10篇</w:t>
      </w:r>
      <w:r>
        <w:rPr>
          <w:rFonts w:hint="eastAsia" w:ascii="仿宋_GB2312" w:hAnsi="仿宋_GB2312" w:eastAsia="仿宋_GB2312" w:cs="仿宋_GB2312"/>
          <w:sz w:val="32"/>
          <w:szCs w:val="32"/>
        </w:rPr>
        <w:t>，实际完成值：</w:t>
      </w:r>
      <w:r>
        <w:rPr>
          <w:rFonts w:hint="eastAsia" w:ascii="仿宋_GB2312" w:hAnsi="仿宋_GB2312" w:eastAsia="仿宋_GB2312" w:cs="仿宋_GB2312"/>
          <w:sz w:val="32"/>
          <w:szCs w:val="32"/>
          <w:lang w:val="en-US" w:eastAsia="zh-CN"/>
        </w:rPr>
        <w:t>10篇</w:t>
      </w:r>
      <w:r>
        <w:rPr>
          <w:rFonts w:hint="eastAsia" w:ascii="仿宋_GB2312" w:hAnsi="仿宋_GB2312" w:eastAsia="仿宋_GB2312" w:cs="仿宋_GB2312"/>
          <w:sz w:val="32"/>
          <w:szCs w:val="32"/>
        </w:rPr>
        <w:t>，指标完成率100%</w:t>
      </w:r>
    </w:p>
    <w:p>
      <w:pPr>
        <w:spacing w:line="60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指标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：弥补聘用人员人数，指标值：25人，实际完成值：25人，指标完成率100%</w:t>
      </w:r>
      <w:r>
        <w:rPr>
          <w:rFonts w:hint="eastAsia" w:ascii="仿宋_GB2312" w:hAnsi="仿宋_GB2312" w:eastAsia="仿宋_GB2312" w:cs="仿宋_GB2312"/>
          <w:sz w:val="32"/>
          <w:szCs w:val="32"/>
          <w:lang w:eastAsia="zh-CN"/>
        </w:rPr>
        <w:t>。</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质量指标：</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指标1：人员经费发放准确性，指标值：100%，实际完成值：100%，指标完成率100%。</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时效指标：</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指标1：项目按期完成率，指标值：100%，实际完成值：100%，指标完成率100%。</w:t>
      </w:r>
    </w:p>
    <w:p>
      <w:pPr>
        <w:spacing w:line="60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指标1：演出聘用人员劳务及其他，指标值：59万元，实际完成值：59万元，指标完成率100%。</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指标2：弥补人员经费，指标值：80万元，实际完成值：80万元，指标完成率100%。</w:t>
      </w:r>
    </w:p>
    <w:p>
      <w:pPr>
        <w:pStyle w:val="11"/>
        <w:numPr>
          <w:ilvl w:val="0"/>
          <w:numId w:val="3"/>
        </w:numPr>
        <w:spacing w:line="560" w:lineRule="exact"/>
        <w:ind w:firstLine="643"/>
        <w:rPr>
          <w:rFonts w:eastAsia="楷体_GB2312"/>
          <w:b/>
          <w:bCs/>
          <w:sz w:val="32"/>
          <w:szCs w:val="32"/>
        </w:rPr>
      </w:pPr>
      <w:r>
        <w:rPr>
          <w:rFonts w:hint="eastAsia" w:eastAsia="楷体_GB2312"/>
          <w:b/>
          <w:bCs/>
          <w:sz w:val="32"/>
          <w:szCs w:val="32"/>
        </w:rPr>
        <w:t>项目效益情况</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项目效益类指标包括项目实施效益和满意度两方面的内容，由2个三级指标构成，权重分为20分，</w:t>
      </w:r>
      <w:r>
        <w:rPr>
          <w:rFonts w:hint="eastAsia" w:ascii="仿宋_GB2312" w:hAnsi="仿宋_GB2312" w:eastAsia="仿宋_GB2312" w:cs="仿宋_GB2312"/>
          <w:sz w:val="32"/>
          <w:szCs w:val="32"/>
          <w:highlight w:val="none"/>
        </w:rPr>
        <w:t>实际得分20分，得分率为100%。</w:t>
      </w:r>
      <w:r>
        <w:rPr>
          <w:rFonts w:hint="eastAsia" w:ascii="仿宋_GB2312" w:hAnsi="仿宋_GB2312" w:eastAsia="仿宋_GB2312" w:cs="仿宋_GB2312"/>
          <w:sz w:val="32"/>
          <w:szCs w:val="32"/>
        </w:rPr>
        <w:t>具体效益指标及满意度指标完成情况如下：</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1.实施效益</w:t>
      </w:r>
    </w:p>
    <w:p>
      <w:pPr>
        <w:spacing w:line="60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①社会效益指标：基层群众对党的惠民政策的认知</w:t>
      </w:r>
      <w:r>
        <w:rPr>
          <w:rFonts w:hint="eastAsia" w:ascii="仿宋_GB2312" w:hAnsi="仿宋_GB2312" w:eastAsia="仿宋_GB2312" w:cs="仿宋_GB2312"/>
          <w:sz w:val="32"/>
          <w:szCs w:val="32"/>
          <w:lang w:val="en-US" w:eastAsia="zh-CN"/>
        </w:rPr>
        <w:t>指标值</w:t>
      </w:r>
      <w:r>
        <w:rPr>
          <w:rFonts w:hint="eastAsia" w:ascii="仿宋_GB2312" w:hAnsi="仿宋_GB2312" w:eastAsia="仿宋_GB2312" w:cs="仿宋_GB2312"/>
          <w:sz w:val="32"/>
          <w:szCs w:val="32"/>
        </w:rPr>
        <w:t>显著提高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实际完成值：显著提高，指标完成率100%。</w:t>
      </w:r>
    </w:p>
    <w:p>
      <w:pPr>
        <w:spacing w:line="600" w:lineRule="exact"/>
        <w:ind w:firstLine="640" w:firstLineChars="200"/>
        <w:outlineLvl w:val="0"/>
        <w:rPr>
          <w:rFonts w:ascii="仿宋_GB2312" w:hAnsi="仿宋_GB2312" w:eastAsia="仿宋_GB2312" w:cs="仿宋_GB2312"/>
          <w:sz w:val="32"/>
          <w:szCs w:val="32"/>
        </w:rPr>
      </w:pP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2.满意度</w:t>
      </w:r>
    </w:p>
    <w:p>
      <w:pPr>
        <w:spacing w:line="60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满意度指标：观众满意度</w:t>
      </w:r>
      <w:r>
        <w:rPr>
          <w:rFonts w:hint="eastAsia" w:ascii="仿宋_GB2312" w:hAnsi="仿宋_GB2312" w:eastAsia="仿宋_GB2312" w:cs="仿宋_GB2312"/>
          <w:sz w:val="32"/>
          <w:szCs w:val="32"/>
          <w:lang w:val="en-US" w:eastAsia="zh-CN"/>
        </w:rPr>
        <w:t>指标值</w:t>
      </w:r>
      <w:r>
        <w:rPr>
          <w:rFonts w:hint="eastAsia" w:ascii="仿宋_GB2312" w:hAnsi="仿宋_GB2312" w:eastAsia="仿宋_GB2312" w:cs="仿宋_GB2312"/>
          <w:sz w:val="32"/>
          <w:szCs w:val="32"/>
        </w:rPr>
        <w:t>≥95%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实际完成值：</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，指标完成率100%。</w:t>
      </w:r>
    </w:p>
    <w:p>
      <w:pPr>
        <w:spacing w:line="560" w:lineRule="exact"/>
        <w:ind w:firstLine="640" w:firstLineChars="200"/>
        <w:rPr>
          <w:rFonts w:eastAsia="黑体"/>
          <w:sz w:val="32"/>
          <w:szCs w:val="32"/>
        </w:rPr>
      </w:pPr>
      <w:r>
        <w:rPr>
          <w:rFonts w:hint="eastAsia" w:eastAsia="黑体"/>
          <w:sz w:val="32"/>
          <w:szCs w:val="32"/>
        </w:rPr>
        <w:t>五、预算执行进度与绩效指标总体完成率偏差</w:t>
      </w:r>
    </w:p>
    <w:p>
      <w:pPr>
        <w:pStyle w:val="18"/>
        <w:spacing w:line="560" w:lineRule="exact"/>
        <w:ind w:firstLine="64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自治区政府购买文化演出项目年初预算139万元，全年预算139万元，实际支出139万元，预算执行率为100%，项目绩效指标总体完成率为98%，总体偏差率为2%,偏差原因：因8月初至12月初受疫情防控要求，我单位计划下半年赴南疆小型惠民演出200场未如期展开，未完成惠民演出任务。</w:t>
      </w:r>
    </w:p>
    <w:p>
      <w:pPr>
        <w:spacing w:line="560" w:lineRule="exact"/>
        <w:ind w:firstLine="640" w:firstLineChars="200"/>
        <w:rPr>
          <w:rStyle w:val="17"/>
          <w:rFonts w:ascii="Times New Roman" w:hAnsi="Times New Roman" w:cs="Times New Roman"/>
          <w:color w:val="auto"/>
        </w:rPr>
      </w:pPr>
      <w:r>
        <w:rPr>
          <w:rFonts w:hint="eastAsia" w:eastAsia="黑体"/>
          <w:sz w:val="32"/>
          <w:szCs w:val="32"/>
        </w:rPr>
        <w:t>六</w:t>
      </w:r>
      <w:r>
        <w:rPr>
          <w:rFonts w:eastAsia="黑体"/>
          <w:sz w:val="32"/>
          <w:szCs w:val="32"/>
        </w:rPr>
        <w:t>、主要经验及做法、存在的问题及原因分析</w:t>
      </w:r>
    </w:p>
    <w:p>
      <w:pPr>
        <w:spacing w:line="560" w:lineRule="exact"/>
        <w:ind w:firstLine="626" w:firstLineChars="200"/>
        <w:rPr>
          <w:rFonts w:eastAsia="楷体"/>
          <w:b/>
          <w:spacing w:val="-4"/>
          <w:sz w:val="32"/>
          <w:szCs w:val="32"/>
        </w:rPr>
      </w:pPr>
      <w:r>
        <w:rPr>
          <w:rFonts w:eastAsia="楷体"/>
          <w:b/>
          <w:spacing w:val="-4"/>
          <w:sz w:val="32"/>
          <w:szCs w:val="32"/>
        </w:rPr>
        <w:t>（一）主要经验及做法</w:t>
      </w:r>
      <w:r>
        <w:rPr>
          <w:rFonts w:hint="eastAsia" w:eastAsia="楷体"/>
          <w:b/>
          <w:spacing w:val="-4"/>
          <w:sz w:val="32"/>
          <w:szCs w:val="32"/>
        </w:rPr>
        <w:t>：</w:t>
      </w:r>
    </w:p>
    <w:p>
      <w:pPr>
        <w:spacing w:line="560" w:lineRule="exact"/>
        <w:ind w:firstLine="640" w:firstLineChars="200"/>
        <w:rPr>
          <w:rFonts w:eastAsia="仿宋_GB2312"/>
          <w:sz w:val="32"/>
          <w:szCs w:val="32"/>
        </w:rPr>
      </w:pPr>
      <w:r>
        <w:rPr>
          <w:rFonts w:ascii="Times New Roman" w:hAnsi="Times New Roman" w:eastAsia="仿宋_GB2312" w:cs="Times New Roman"/>
          <w:b w:val="0"/>
          <w:bCs w:val="0"/>
          <w:kern w:val="2"/>
          <w:sz w:val="32"/>
          <w:szCs w:val="32"/>
          <w:lang w:val="en-US" w:eastAsia="zh-CN" w:bidi="ar-SA"/>
        </w:rPr>
        <w:t>为确保项目顺利进行，提前做好项目</w:t>
      </w:r>
      <w:r>
        <w:rPr>
          <w:rFonts w:hint="eastAsia" w:ascii="Times New Roman" w:hAnsi="Times New Roman" w:eastAsia="仿宋_GB2312" w:cs="Times New Roman"/>
          <w:b w:val="0"/>
          <w:bCs w:val="0"/>
          <w:kern w:val="2"/>
          <w:sz w:val="32"/>
          <w:szCs w:val="32"/>
          <w:lang w:val="en-US" w:eastAsia="zh-CN" w:bidi="ar-SA"/>
        </w:rPr>
        <w:t>实施目标设立计</w:t>
      </w:r>
      <w:r>
        <w:rPr>
          <w:rFonts w:ascii="Times New Roman" w:hAnsi="Times New Roman" w:eastAsia="仿宋_GB2312" w:cs="Times New Roman"/>
          <w:b w:val="0"/>
          <w:bCs w:val="0"/>
          <w:kern w:val="2"/>
          <w:sz w:val="32"/>
          <w:szCs w:val="32"/>
          <w:lang w:val="en-US" w:eastAsia="zh-CN" w:bidi="ar-SA"/>
        </w:rPr>
        <w:t>划，</w:t>
      </w:r>
      <w:r>
        <w:rPr>
          <w:rFonts w:hint="eastAsia" w:ascii="Times New Roman" w:hAnsi="Times New Roman" w:eastAsia="仿宋_GB2312" w:cs="Times New Roman"/>
          <w:b w:val="0"/>
          <w:bCs w:val="0"/>
          <w:kern w:val="2"/>
          <w:sz w:val="32"/>
          <w:szCs w:val="32"/>
          <w:lang w:val="en-US" w:eastAsia="zh-CN" w:bidi="ar-SA"/>
        </w:rPr>
        <w:t>在前期策划中严把质量关，明确目标，建立安全防护机制，</w:t>
      </w:r>
      <w:r>
        <w:rPr>
          <w:rFonts w:ascii="Times New Roman" w:hAnsi="Times New Roman" w:eastAsia="仿宋_GB2312" w:cs="Times New Roman"/>
          <w:b w:val="0"/>
          <w:bCs w:val="0"/>
          <w:kern w:val="2"/>
          <w:sz w:val="32"/>
          <w:szCs w:val="32"/>
          <w:lang w:val="en-US" w:eastAsia="zh-CN" w:bidi="ar-SA"/>
        </w:rPr>
        <w:t>在项目实施过程中做好定期监督检查，严格按照项目管理规范进行，在项目资金使用过程中，严格落实把关，按照项目资金使用</w:t>
      </w:r>
      <w:r>
        <w:rPr>
          <w:rFonts w:eastAsia="仿宋_GB2312"/>
          <w:sz w:val="32"/>
          <w:szCs w:val="32"/>
        </w:rPr>
        <w:t>范围做好审核工作，让项目资金落于实处。</w:t>
      </w:r>
    </w:p>
    <w:p>
      <w:pPr>
        <w:pStyle w:val="2"/>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4"/>
        </w:numPr>
        <w:spacing w:line="560" w:lineRule="exact"/>
        <w:ind w:firstLine="642" w:firstLineChars="200"/>
        <w:rPr>
          <w:rFonts w:eastAsia="楷体_GB2312"/>
          <w:b/>
          <w:bCs/>
          <w:sz w:val="32"/>
          <w:szCs w:val="32"/>
        </w:rPr>
      </w:pPr>
      <w:r>
        <w:rPr>
          <w:rFonts w:eastAsia="楷体_GB2312"/>
          <w:b/>
          <w:bCs/>
          <w:sz w:val="32"/>
          <w:szCs w:val="32"/>
        </w:rPr>
        <w:t>存在的问题及原因分析</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2.因轮岗、调动、等因素使我单位绩效工作人员流动频繁，造成了工作衔接不到位的情况。</w:t>
      </w:r>
    </w:p>
    <w:p>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有关建议</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1.多进行有关绩效管理工作方面的培训。积极组织第三方开展绩效管理工作培训，进一步夯实业务基础，提高我单位绩效人员水平。</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2.专门设定对绩效工作人员定职、定岗、定责等相关制度措施，进一步提升我单位绩效管理工作业务水平，扎实做好绩效管理工作。</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pPr>
        <w:spacing w:line="600" w:lineRule="exact"/>
        <w:ind w:firstLine="640" w:firstLineChars="200"/>
        <w:outlineLvl w:val="0"/>
        <w:rPr>
          <w:sz w:val="22"/>
          <w:szCs w:val="28"/>
        </w:rPr>
      </w:pPr>
      <w:r>
        <w:rPr>
          <w:rFonts w:hint="eastAsia" w:ascii="仿宋_GB2312" w:hAnsi="仿宋_GB2312" w:eastAsia="仿宋_GB2312" w:cs="仿宋_GB2312"/>
          <w:sz w:val="32"/>
          <w:szCs w:val="32"/>
        </w:rPr>
        <w:t>4.进一步完善项目评价过程中有关数据和资料的收集、整理、审核及分析。项目启动时同步做好档案的归纳与整理，及时整理、收集、汇总，健全档案资料。项目后续管理有待进一步加强和跟踪</w:t>
      </w:r>
      <w:r>
        <w:rPr>
          <w:rFonts w:hint="eastAsia" w:ascii="仿宋_GB2312" w:hAnsi="仿宋_GB2312" w:eastAsia="仿宋_GB2312" w:cs="仿宋_GB2312"/>
          <w:sz w:val="36"/>
          <w:szCs w:val="32"/>
        </w:rPr>
        <w:t>。</w:t>
      </w:r>
    </w:p>
    <w:p>
      <w:pPr>
        <w:spacing w:line="560" w:lineRule="exact"/>
        <w:ind w:firstLine="640" w:firstLineChars="200"/>
        <w:rPr>
          <w:rFonts w:eastAsia="黑体"/>
          <w:sz w:val="32"/>
          <w:szCs w:val="32"/>
        </w:rPr>
      </w:pPr>
      <w:r>
        <w:rPr>
          <w:rFonts w:hint="eastAsia" w:eastAsia="黑体"/>
          <w:sz w:val="32"/>
          <w:szCs w:val="32"/>
        </w:rPr>
        <w:t>八、</w:t>
      </w:r>
      <w:r>
        <w:rPr>
          <w:rFonts w:eastAsia="黑体"/>
          <w:sz w:val="32"/>
          <w:szCs w:val="32"/>
        </w:rPr>
        <w:t>其他需要说</w:t>
      </w:r>
      <w:bookmarkStart w:id="2" w:name="page8"/>
      <w:bookmarkEnd w:id="2"/>
      <w:r>
        <w:rPr>
          <w:rFonts w:eastAsia="黑体"/>
          <w:sz w:val="32"/>
          <w:szCs w:val="32"/>
        </w:rPr>
        <w:t>明的问题</w:t>
      </w:r>
    </w:p>
    <w:p>
      <w:pPr>
        <w:pStyle w:val="12"/>
        <w:spacing w:after="0"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本项目无其他需说明的问题。</w:t>
      </w:r>
    </w:p>
    <w:p>
      <w:pPr>
        <w:pStyle w:val="12"/>
        <w:spacing w:after="0" w:line="560" w:lineRule="exact"/>
        <w:ind w:left="0" w:leftChars="0" w:firstLine="640"/>
        <w:rPr>
          <w:rFonts w:ascii="仿宋_GB2312" w:hAnsi="仿宋_GB2312" w:eastAsia="仿宋_GB2312" w:cs="仿宋_GB2312"/>
          <w:sz w:val="32"/>
          <w:szCs w:val="32"/>
        </w:rPr>
      </w:pPr>
    </w:p>
    <w:p>
      <w:pPr>
        <w:pStyle w:val="12"/>
        <w:spacing w:after="0" w:line="560" w:lineRule="exact"/>
        <w:ind w:left="0" w:leftChars="0" w:firstLine="0" w:firstLineChars="0"/>
        <w:rPr>
          <w:rFonts w:hint="eastAsia" w:ascii="仿宋_GB2312" w:hAnsi="仿宋_GB2312" w:eastAsia="仿宋_GB2312" w:cs="仿宋_GB2312"/>
          <w:sz w:val="32"/>
          <w:szCs w:val="32"/>
        </w:rPr>
      </w:pPr>
    </w:p>
    <w:tbl>
      <w:tblPr>
        <w:tblStyle w:val="13"/>
        <w:tblW w:w="10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914"/>
        <w:gridCol w:w="945"/>
        <w:gridCol w:w="1080"/>
        <w:gridCol w:w="1395"/>
        <w:gridCol w:w="273"/>
        <w:gridCol w:w="1080"/>
        <w:gridCol w:w="1365"/>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0038"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03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3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自治区政府购买文化演出项目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自治区文化和旅游厅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6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其中：当年财政拨款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139</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139</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6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新财教【2016】238号关于印发《新疆维吾尔自治区区级文艺院团政府购买演出管理办法》的通知，文件中第二条政府购买演出的范围包括:自治区党委、人大、政府、政协、国家有关部委安排的由各院团参加的重大节庆演出文化交流、慰问演出和文化恵民等政治性、公益性演出等活动。第四条，政府购买演出补助资金优先用于自治区文艺院团在职人员绩效工资发放和缴纳基本养老保险、职业年金、并可用于演出活动所产生的节目创作、演出服装购置、演出设备租用和维护等开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建立政府购买演出机制后，自治区级文艺院团应按照自治区规范津贴补贴以及事业单位人员养老保险有关政策，确保在职人员绩效工资的发放和基本养老保险，职业年金缴纳。在此基础上，自治区文艺团内可建立和完善奖励机制。2022年计划下乡演出200场，主要用于演出聘用人员劳务费54.58万元、购置设备4.42万元，弥补在职、聘用人员绩效奖金、精神文明及平安单位奖等人员经费80万元，总成本139万元。</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2022年1月在文化中心大型演出4场新春音乐会；2、6月29日赴昌吉准东经济技术开发区开展“我们的中国梦-文化进万家”大型惠民演出1场;3、12月17-18日在新疆人民剧场大型演出《丝绸之路音乐会》2场，全年完成大型演出7场次，既满足了人民群众对精神文化需求也持续推进了“文化润疆”工程;4、因8月初至12月初受疫情防控要求，我单位计划下半年赴南疆小型惠民演出200场未如期展开，未完成惠民演出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大型演出场数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7场次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小型演出场数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，=200场次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0场次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因8月初至12月初受疫情防控要求，我单位计划下半年赴南疆小型惠民演出200场未如期展开，未完成惠民演出任务。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每场演出副高以上职称演员参与人数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演出报道场数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弥补聘用人员人数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人员经费发放准确性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项目按期完成率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演出聘用人员劳务及其他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，=59万元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弥补人员经费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，=80万元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基层群众对党的惠民政策的认知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显著提高</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18"/>
        <w:ind w:left="0" w:leftChars="0" w:firstLine="0" w:firstLineChars="0"/>
        <w:jc w:val="both"/>
        <w:rPr>
          <w:rFonts w:hint="default" w:eastAsia="宋体"/>
          <w:b/>
          <w:bCs/>
          <w:sz w:val="28"/>
          <w:szCs w:val="40"/>
          <w:highlight w:val="none"/>
          <w:lang w:val="en-US" w:eastAsia="zh-CN"/>
        </w:rPr>
      </w:pPr>
      <w:bookmarkStart w:id="5" w:name="_GoBack"/>
      <w:bookmarkEnd w:id="5"/>
      <w:bookmarkStart w:id="3" w:name="_Toc26499_WPSOffice_Level2"/>
      <w:bookmarkStart w:id="4" w:name="_Toc30064_WPSOffice_Level1"/>
      <w:r>
        <w:rPr>
          <w:rFonts w:hint="eastAsia"/>
          <w:b/>
          <w:bCs/>
          <w:sz w:val="28"/>
          <w:szCs w:val="40"/>
          <w:highlight w:val="none"/>
          <w:lang w:val="en-US" w:eastAsia="zh-CN"/>
        </w:rPr>
        <w:t>附件1</w:t>
      </w:r>
    </w:p>
    <w:p>
      <w:pPr>
        <w:pStyle w:val="18"/>
        <w:ind w:firstLine="562"/>
        <w:jc w:val="center"/>
        <w:rPr>
          <w:rFonts w:hint="eastAsia"/>
          <w:b/>
          <w:bCs/>
          <w:sz w:val="28"/>
          <w:szCs w:val="40"/>
          <w:highlight w:val="none"/>
        </w:rPr>
      </w:pPr>
    </w:p>
    <w:p>
      <w:pPr>
        <w:pStyle w:val="18"/>
        <w:ind w:firstLine="548" w:firstLineChars="195"/>
        <w:jc w:val="both"/>
        <w:rPr>
          <w:sz w:val="28"/>
          <w:szCs w:val="40"/>
          <w:highlight w:val="none"/>
        </w:rPr>
      </w:pPr>
      <w:r>
        <w:rPr>
          <w:rFonts w:hint="eastAsia"/>
          <w:b/>
          <w:bCs/>
          <w:sz w:val="28"/>
          <w:szCs w:val="40"/>
          <w:highlight w:val="none"/>
        </w:rPr>
        <w:t>自治区政府购买文化演出项目绩效评价指标体系及综合评分表</w:t>
      </w:r>
      <w:bookmarkEnd w:id="3"/>
      <w:bookmarkEnd w:id="4"/>
    </w:p>
    <w:tbl>
      <w:tblPr>
        <w:tblStyle w:val="13"/>
        <w:tblW w:w="4473"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13"/>
        <w:gridCol w:w="471"/>
        <w:gridCol w:w="540"/>
        <w:gridCol w:w="1455"/>
        <w:gridCol w:w="3215"/>
        <w:gridCol w:w="803"/>
        <w:gridCol w:w="8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327"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一级指标</w:t>
            </w:r>
          </w:p>
        </w:tc>
        <w:tc>
          <w:tcPr>
            <w:tcW w:w="300"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二级指标</w:t>
            </w:r>
          </w:p>
        </w:tc>
        <w:tc>
          <w:tcPr>
            <w:tcW w:w="344"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三级指标</w:t>
            </w:r>
          </w:p>
        </w:tc>
        <w:tc>
          <w:tcPr>
            <w:tcW w:w="927"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指标解释</w:t>
            </w:r>
          </w:p>
        </w:tc>
        <w:tc>
          <w:tcPr>
            <w:tcW w:w="2049"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指标说明</w:t>
            </w:r>
          </w:p>
        </w:tc>
        <w:tc>
          <w:tcPr>
            <w:tcW w:w="512"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权重</w:t>
            </w:r>
          </w:p>
        </w:tc>
        <w:tc>
          <w:tcPr>
            <w:tcW w:w="537"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27" w:type="pct"/>
            <w:vMerge w:val="restart"/>
            <w:shd w:val="clear" w:color="auto" w:fill="FFFFFF"/>
            <w:vAlign w:val="center"/>
          </w:tcPr>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r>
              <w:rPr>
                <w:color w:val="000000"/>
                <w:kern w:val="0"/>
                <w:sz w:val="22"/>
                <w:szCs w:val="22"/>
              </w:rPr>
              <w:t>决策　</w:t>
            </w:r>
          </w:p>
        </w:tc>
        <w:tc>
          <w:tcPr>
            <w:tcW w:w="300"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项目立项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立项依据</w:t>
            </w:r>
          </w:p>
          <w:p>
            <w:pPr>
              <w:widowControl/>
              <w:spacing w:line="0" w:lineRule="atLeast"/>
              <w:jc w:val="center"/>
              <w:rPr>
                <w:color w:val="000000"/>
                <w:kern w:val="0"/>
                <w:sz w:val="22"/>
                <w:szCs w:val="22"/>
              </w:rPr>
            </w:pPr>
            <w:r>
              <w:rPr>
                <w:color w:val="000000"/>
                <w:kern w:val="0"/>
                <w:sz w:val="22"/>
                <w:szCs w:val="22"/>
              </w:rPr>
              <w:t>充分性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项目立项是否符合法律法规、相关政策、发展规划以及部门职责，用以反映和考核项目立项依据情况。</w:t>
            </w:r>
          </w:p>
        </w:tc>
        <w:tc>
          <w:tcPr>
            <w:tcW w:w="2049"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①项目立项是否符合国家法律法规、国民经济发展规划和相关政策；</w:t>
            </w:r>
            <w:r>
              <w:rPr>
                <w:color w:val="000000"/>
                <w:kern w:val="0"/>
                <w:sz w:val="22"/>
                <w:szCs w:val="22"/>
              </w:rPr>
              <w:br w:type="textWrapping"/>
            </w:r>
            <w:r>
              <w:rPr>
                <w:color w:val="000000"/>
                <w:kern w:val="0"/>
                <w:sz w:val="22"/>
                <w:szCs w:val="22"/>
              </w:rPr>
              <w:t>②项目立项是否符合行业发展规划和政策要求；</w:t>
            </w:r>
            <w:r>
              <w:rPr>
                <w:color w:val="000000"/>
                <w:kern w:val="0"/>
                <w:sz w:val="22"/>
                <w:szCs w:val="22"/>
              </w:rPr>
              <w:br w:type="textWrapping"/>
            </w:r>
            <w:r>
              <w:rPr>
                <w:color w:val="000000"/>
                <w:kern w:val="0"/>
                <w:sz w:val="22"/>
                <w:szCs w:val="22"/>
              </w:rPr>
              <w:t>③项目立项是否与部门职责范围相符，属于部门履职所需；</w:t>
            </w:r>
            <w:r>
              <w:rPr>
                <w:color w:val="000000"/>
                <w:kern w:val="0"/>
                <w:sz w:val="22"/>
                <w:szCs w:val="22"/>
              </w:rPr>
              <w:br w:type="textWrapping"/>
            </w:r>
            <w:r>
              <w:rPr>
                <w:color w:val="000000"/>
                <w:kern w:val="0"/>
                <w:sz w:val="22"/>
                <w:szCs w:val="22"/>
              </w:rPr>
              <w:t>④项目是否属于公共财政支持范围，是否符合中央、地方事权支出责任划分原则；</w:t>
            </w:r>
            <w:r>
              <w:rPr>
                <w:color w:val="000000"/>
                <w:kern w:val="0"/>
                <w:sz w:val="22"/>
                <w:szCs w:val="22"/>
              </w:rPr>
              <w:br w:type="textWrapping"/>
            </w:r>
            <w:r>
              <w:rPr>
                <w:color w:val="000000"/>
                <w:kern w:val="0"/>
                <w:sz w:val="22"/>
                <w:szCs w:val="22"/>
              </w:rPr>
              <w:t>⑤项目是否与相关部门同类项目或部门内部相关项目重复。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立项程序</w:t>
            </w:r>
          </w:p>
          <w:p>
            <w:pPr>
              <w:widowControl/>
              <w:spacing w:line="0" w:lineRule="atLeast"/>
              <w:jc w:val="center"/>
              <w:rPr>
                <w:color w:val="000000"/>
                <w:kern w:val="0"/>
                <w:sz w:val="22"/>
                <w:szCs w:val="22"/>
              </w:rPr>
            </w:pPr>
            <w:r>
              <w:rPr>
                <w:color w:val="000000"/>
                <w:kern w:val="0"/>
                <w:sz w:val="22"/>
                <w:szCs w:val="22"/>
              </w:rPr>
              <w:t>规范性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项目申请、设立过程是否符合相关要求，用以反映和考核项目立项的规范情况。</w:t>
            </w:r>
          </w:p>
        </w:tc>
        <w:tc>
          <w:tcPr>
            <w:tcW w:w="2049"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①项目是否按照规定的程序申请设立；</w:t>
            </w:r>
            <w:r>
              <w:rPr>
                <w:color w:val="000000"/>
                <w:kern w:val="0"/>
                <w:sz w:val="22"/>
                <w:szCs w:val="22"/>
              </w:rPr>
              <w:br w:type="textWrapping"/>
            </w:r>
            <w:r>
              <w:rPr>
                <w:color w:val="000000"/>
                <w:kern w:val="0"/>
                <w:sz w:val="22"/>
                <w:szCs w:val="22"/>
              </w:rPr>
              <w:t>②审批文件、材料是否符合相关要求；</w:t>
            </w:r>
            <w:r>
              <w:rPr>
                <w:color w:val="000000"/>
                <w:kern w:val="0"/>
                <w:sz w:val="22"/>
                <w:szCs w:val="22"/>
              </w:rPr>
              <w:br w:type="textWrapping"/>
            </w:r>
            <w:r>
              <w:rPr>
                <w:color w:val="000000"/>
                <w:kern w:val="0"/>
                <w:sz w:val="22"/>
                <w:szCs w:val="22"/>
              </w:rPr>
              <w:t>③事前是否已经过必要的可行性研究、专家论证、风险评估、绩效评估、集体决策。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项目所设定的绩效目标是否依据充分，是否符合客观实际，用以反映和考核项目绩效目标与项目实施的相符情况。</w:t>
            </w:r>
          </w:p>
        </w:tc>
        <w:tc>
          <w:tcPr>
            <w:tcW w:w="2049" w:type="pct"/>
            <w:shd w:val="clear" w:color="000000"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（如未设定预算绩效目标，也可考核其他工作任务目标）</w:t>
            </w:r>
            <w:r>
              <w:rPr>
                <w:color w:val="000000"/>
                <w:kern w:val="0"/>
                <w:sz w:val="22"/>
                <w:szCs w:val="22"/>
              </w:rPr>
              <w:br w:type="textWrapping"/>
            </w:r>
            <w:r>
              <w:rPr>
                <w:color w:val="000000"/>
                <w:kern w:val="0"/>
                <w:sz w:val="22"/>
                <w:szCs w:val="22"/>
              </w:rPr>
              <w:t>①项目是否有绩效目标；</w:t>
            </w:r>
            <w:r>
              <w:rPr>
                <w:color w:val="000000"/>
                <w:kern w:val="0"/>
                <w:sz w:val="22"/>
                <w:szCs w:val="22"/>
              </w:rPr>
              <w:br w:type="textWrapping"/>
            </w:r>
            <w:r>
              <w:rPr>
                <w:color w:val="000000"/>
                <w:kern w:val="0"/>
                <w:sz w:val="22"/>
                <w:szCs w:val="22"/>
              </w:rPr>
              <w:t>②项目绩效目标与实际工作内容是否具有相关性；</w:t>
            </w:r>
            <w:r>
              <w:rPr>
                <w:color w:val="000000"/>
                <w:kern w:val="0"/>
                <w:sz w:val="22"/>
                <w:szCs w:val="22"/>
              </w:rPr>
              <w:br w:type="textWrapping"/>
            </w:r>
            <w:r>
              <w:rPr>
                <w:color w:val="000000"/>
                <w:kern w:val="0"/>
                <w:sz w:val="22"/>
                <w:szCs w:val="22"/>
              </w:rPr>
              <w:t>③项目预期产出效益和效果是否符合正常的业绩水平；</w:t>
            </w:r>
          </w:p>
          <w:p>
            <w:pPr>
              <w:widowControl/>
              <w:spacing w:line="0" w:lineRule="atLeast"/>
              <w:jc w:val="left"/>
              <w:rPr>
                <w:color w:val="000000"/>
                <w:kern w:val="0"/>
                <w:sz w:val="22"/>
                <w:szCs w:val="22"/>
              </w:rPr>
            </w:pPr>
            <w:r>
              <w:rPr>
                <w:color w:val="000000"/>
                <w:kern w:val="0"/>
                <w:sz w:val="22"/>
                <w:szCs w:val="22"/>
              </w:rPr>
              <w:t>④是否与预算确定的项目投资额或资金量相匹配。</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0"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绩效指标</w:t>
            </w:r>
          </w:p>
          <w:p>
            <w:pPr>
              <w:widowControl/>
              <w:spacing w:line="0" w:lineRule="atLeast"/>
              <w:jc w:val="center"/>
              <w:rPr>
                <w:color w:val="000000"/>
                <w:kern w:val="0"/>
                <w:sz w:val="22"/>
                <w:szCs w:val="22"/>
              </w:rPr>
            </w:pPr>
            <w:r>
              <w:rPr>
                <w:color w:val="000000"/>
                <w:kern w:val="0"/>
                <w:sz w:val="22"/>
                <w:szCs w:val="22"/>
              </w:rPr>
              <w:t>明确性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依据绩效目标设定的绩效指标是否清晰、细化、可衡量等，用以反映和考核项目绩效目标的明细化情况。</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①是否将项目绩效目标细化分解为具体的绩效指标；</w:t>
            </w:r>
            <w:r>
              <w:rPr>
                <w:color w:val="000000"/>
                <w:kern w:val="0"/>
                <w:sz w:val="22"/>
                <w:szCs w:val="22"/>
              </w:rPr>
              <w:br w:type="textWrapping"/>
            </w:r>
            <w:r>
              <w:rPr>
                <w:color w:val="000000"/>
                <w:kern w:val="0"/>
                <w:sz w:val="22"/>
                <w:szCs w:val="22"/>
              </w:rPr>
              <w:t>②是否通过清晰、可衡量的指标值予以体现；</w:t>
            </w:r>
            <w:r>
              <w:rPr>
                <w:color w:val="000000"/>
                <w:kern w:val="0"/>
                <w:sz w:val="22"/>
                <w:szCs w:val="22"/>
              </w:rPr>
              <w:br w:type="textWrapping"/>
            </w:r>
            <w:r>
              <w:rPr>
                <w:color w:val="000000"/>
                <w:kern w:val="0"/>
                <w:sz w:val="22"/>
                <w:szCs w:val="22"/>
              </w:rPr>
              <w:t>③是否与项目目标任务数或计划数相对应。</w:t>
            </w:r>
            <w:r>
              <w:rPr>
                <w:color w:val="000000"/>
                <w:kern w:val="0"/>
                <w:sz w:val="22"/>
                <w:szCs w:val="22"/>
              </w:rPr>
              <w:br w:type="textWrapping"/>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资金投入</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预算编制</w:t>
            </w:r>
          </w:p>
          <w:p>
            <w:pPr>
              <w:widowControl/>
              <w:spacing w:line="0" w:lineRule="atLeast"/>
              <w:jc w:val="center"/>
              <w:rPr>
                <w:color w:val="000000"/>
                <w:kern w:val="0"/>
                <w:sz w:val="22"/>
                <w:szCs w:val="22"/>
              </w:rPr>
            </w:pPr>
            <w:r>
              <w:rPr>
                <w:color w:val="000000"/>
                <w:kern w:val="0"/>
                <w:sz w:val="22"/>
                <w:szCs w:val="22"/>
              </w:rPr>
              <w:t>科学性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项目预算编制是否经过科学论证、有明确标准，资金额度与年度目标是否相适应，用以反映和考核项目预算编制的科学性、合理性情况。</w:t>
            </w:r>
          </w:p>
        </w:tc>
        <w:tc>
          <w:tcPr>
            <w:tcW w:w="2049"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①预算编制是否经过科学论证；</w:t>
            </w:r>
            <w:r>
              <w:rPr>
                <w:color w:val="000000"/>
                <w:kern w:val="0"/>
                <w:sz w:val="22"/>
                <w:szCs w:val="22"/>
              </w:rPr>
              <w:br w:type="textWrapping"/>
            </w:r>
            <w:r>
              <w:rPr>
                <w:color w:val="000000"/>
                <w:kern w:val="0"/>
                <w:sz w:val="22"/>
                <w:szCs w:val="22"/>
              </w:rPr>
              <w:t>②预算内容与项目内容是否匹配；</w:t>
            </w:r>
            <w:r>
              <w:rPr>
                <w:color w:val="000000"/>
                <w:kern w:val="0"/>
                <w:sz w:val="22"/>
                <w:szCs w:val="22"/>
              </w:rPr>
              <w:br w:type="textWrapping"/>
            </w:r>
            <w:r>
              <w:rPr>
                <w:color w:val="000000"/>
                <w:kern w:val="0"/>
                <w:sz w:val="22"/>
                <w:szCs w:val="22"/>
              </w:rPr>
              <w:t>③预算额度测算依据是否充分，是否按照标准编制；</w:t>
            </w:r>
            <w:r>
              <w:rPr>
                <w:color w:val="000000"/>
                <w:kern w:val="0"/>
                <w:sz w:val="22"/>
                <w:szCs w:val="22"/>
              </w:rPr>
              <w:br w:type="textWrapping"/>
            </w:r>
            <w:r>
              <w:rPr>
                <w:color w:val="000000"/>
                <w:kern w:val="0"/>
                <w:sz w:val="22"/>
                <w:szCs w:val="22"/>
              </w:rPr>
              <w:t>④预算确定的项目投资额或资金量是否与工作任务相匹配。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0"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资金分配</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项目预算资金分配是否有测算依据，与补助单位或地方实际是否相适应，用以反映和考核项目预算资金分配的科学性、合理性情况。</w:t>
            </w:r>
          </w:p>
        </w:tc>
        <w:tc>
          <w:tcPr>
            <w:tcW w:w="2049"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①预算资金分配依据是否充分；</w:t>
            </w:r>
            <w:r>
              <w:rPr>
                <w:color w:val="000000"/>
                <w:kern w:val="0"/>
                <w:sz w:val="22"/>
                <w:szCs w:val="22"/>
              </w:rPr>
              <w:br w:type="textWrapping"/>
            </w:r>
            <w:r>
              <w:rPr>
                <w:color w:val="000000"/>
                <w:kern w:val="0"/>
                <w:sz w:val="22"/>
                <w:szCs w:val="22"/>
              </w:rPr>
              <w:t>②资金分配额度是否合理，与项目单位或地方实际是否相适应。</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27" w:type="pct"/>
            <w:vMerge w:val="restart"/>
            <w:shd w:val="clear" w:color="auto" w:fill="FFFFFF"/>
            <w:vAlign w:val="center"/>
          </w:tcPr>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r>
              <w:rPr>
                <w:color w:val="000000"/>
                <w:kern w:val="0"/>
                <w:sz w:val="22"/>
                <w:szCs w:val="22"/>
              </w:rPr>
              <w:t>过程</w:t>
            </w:r>
          </w:p>
          <w:p>
            <w:pPr>
              <w:widowControl/>
              <w:spacing w:line="0" w:lineRule="atLeast"/>
              <w:jc w:val="center"/>
              <w:rPr>
                <w:color w:val="000000"/>
                <w:kern w:val="0"/>
                <w:sz w:val="22"/>
                <w:szCs w:val="22"/>
              </w:rPr>
            </w:pPr>
            <w:r>
              <w:rPr>
                <w:color w:val="000000"/>
                <w:kern w:val="0"/>
                <w:sz w:val="22"/>
                <w:szCs w:val="22"/>
              </w:rPr>
              <w:t>　　</w:t>
            </w:r>
          </w:p>
        </w:tc>
        <w:tc>
          <w:tcPr>
            <w:tcW w:w="300"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资金到位率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实际到位资金与预算资金的比率，用以反映和考核资金落实情况对项目实施的总体保障程度。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资金到位率=（实际到位资金/预算资金）×100%。</w:t>
            </w:r>
          </w:p>
          <w:p>
            <w:pPr>
              <w:widowControl/>
              <w:spacing w:line="0" w:lineRule="atLeast"/>
              <w:rPr>
                <w:color w:val="000000"/>
                <w:kern w:val="0"/>
                <w:sz w:val="22"/>
                <w:szCs w:val="22"/>
              </w:rPr>
            </w:pPr>
            <w:r>
              <w:rPr>
                <w:color w:val="000000"/>
                <w:kern w:val="0"/>
                <w:sz w:val="22"/>
                <w:szCs w:val="22"/>
              </w:rPr>
              <w:t>实际到位资金：一定时期（本年度或项目期）内落实到具体项目的资金。</w:t>
            </w:r>
          </w:p>
          <w:p>
            <w:pPr>
              <w:widowControl/>
              <w:spacing w:line="0" w:lineRule="atLeast"/>
              <w:rPr>
                <w:color w:val="000000"/>
                <w:kern w:val="0"/>
                <w:sz w:val="22"/>
                <w:szCs w:val="22"/>
              </w:rPr>
            </w:pPr>
            <w:r>
              <w:rPr>
                <w:color w:val="000000"/>
                <w:kern w:val="0"/>
                <w:sz w:val="22"/>
                <w:szCs w:val="22"/>
              </w:rPr>
              <w:t>预算资金：一定时期（本年度或项目期）内预算安排到具体项目的资金。</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vMerge w:val="continue"/>
            <w:shd w:val="clear" w:color="auto" w:fill="FFFFFF"/>
            <w:vAlign w:val="center"/>
          </w:tcPr>
          <w:p>
            <w:pPr>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预算执行率</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项目预算资金是否按照计划执行，用以反映或考核项目预算执行情况。</w:t>
            </w:r>
          </w:p>
        </w:tc>
        <w:tc>
          <w:tcPr>
            <w:tcW w:w="2049" w:type="pct"/>
            <w:shd w:val="clear" w:color="auto" w:fill="FFFFFF"/>
            <w:vAlign w:val="center"/>
          </w:tcPr>
          <w:p>
            <w:pPr>
              <w:widowControl/>
              <w:spacing w:line="0" w:lineRule="atLeast"/>
              <w:rPr>
                <w:color w:val="000000"/>
                <w:kern w:val="0"/>
                <w:sz w:val="22"/>
                <w:szCs w:val="22"/>
              </w:rPr>
            </w:pPr>
            <w:r>
              <w:rPr>
                <w:color w:val="000000"/>
                <w:kern w:val="0"/>
                <w:sz w:val="22"/>
                <w:szCs w:val="22"/>
              </w:rPr>
              <w:t>预算执行率=（实际支出资金/实际到位资金）×100%。</w:t>
            </w:r>
            <w:r>
              <w:rPr>
                <w:color w:val="000000"/>
                <w:kern w:val="0"/>
                <w:sz w:val="22"/>
                <w:szCs w:val="22"/>
              </w:rPr>
              <w:br w:type="textWrapping"/>
            </w:r>
            <w:r>
              <w:rPr>
                <w:color w:val="000000"/>
                <w:kern w:val="0"/>
                <w:sz w:val="22"/>
                <w:szCs w:val="22"/>
              </w:rPr>
              <w:t>实际支出资金：一定时期（本年度或项目期）内项目实际拨付的资金。</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资金使用</w:t>
            </w:r>
          </w:p>
          <w:p>
            <w:pPr>
              <w:widowControl/>
              <w:spacing w:line="0" w:lineRule="atLeast"/>
              <w:jc w:val="center"/>
              <w:rPr>
                <w:color w:val="000000"/>
                <w:kern w:val="0"/>
                <w:sz w:val="22"/>
                <w:szCs w:val="22"/>
              </w:rPr>
            </w:pPr>
            <w:r>
              <w:rPr>
                <w:color w:val="000000"/>
                <w:kern w:val="0"/>
                <w:sz w:val="22"/>
                <w:szCs w:val="22"/>
              </w:rPr>
              <w:t>合规性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项目资金使用是否符合相关的财务管理制度规定，用以反映和考核项目资金的规范运行情况。</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①是否符合国家财经法规和财务管理制度以及有关专项资金管理办法的规定；</w:t>
            </w:r>
            <w:r>
              <w:rPr>
                <w:color w:val="000000"/>
                <w:kern w:val="0"/>
                <w:sz w:val="22"/>
                <w:szCs w:val="22"/>
              </w:rPr>
              <w:br w:type="textWrapping"/>
            </w:r>
            <w:r>
              <w:rPr>
                <w:color w:val="000000"/>
                <w:kern w:val="0"/>
                <w:sz w:val="22"/>
                <w:szCs w:val="22"/>
              </w:rPr>
              <w:t>②资金的拨付是否有完整的审批程序和手续；</w:t>
            </w:r>
            <w:r>
              <w:rPr>
                <w:color w:val="000000"/>
                <w:kern w:val="0"/>
                <w:sz w:val="22"/>
                <w:szCs w:val="22"/>
              </w:rPr>
              <w:br w:type="textWrapping"/>
            </w:r>
            <w:r>
              <w:rPr>
                <w:color w:val="000000"/>
                <w:kern w:val="0"/>
                <w:sz w:val="22"/>
                <w:szCs w:val="22"/>
              </w:rPr>
              <w:t>③是否符合项目预算批复或合同规定的用途；</w:t>
            </w:r>
            <w:r>
              <w:rPr>
                <w:color w:val="000000"/>
                <w:kern w:val="0"/>
                <w:sz w:val="22"/>
                <w:szCs w:val="22"/>
              </w:rPr>
              <w:br w:type="textWrapping"/>
            </w:r>
            <w:r>
              <w:rPr>
                <w:color w:val="000000"/>
                <w:kern w:val="0"/>
                <w:sz w:val="22"/>
                <w:szCs w:val="22"/>
              </w:rPr>
              <w:t>④是否存在截留、挤占、挪用、虚列支出等情况。</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组织实施</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管理制度</w:t>
            </w:r>
          </w:p>
          <w:p>
            <w:pPr>
              <w:widowControl/>
              <w:spacing w:line="0" w:lineRule="atLeast"/>
              <w:jc w:val="center"/>
              <w:rPr>
                <w:color w:val="000000"/>
                <w:kern w:val="0"/>
                <w:sz w:val="22"/>
                <w:szCs w:val="22"/>
              </w:rPr>
            </w:pPr>
            <w:r>
              <w:rPr>
                <w:color w:val="000000"/>
                <w:kern w:val="0"/>
                <w:sz w:val="22"/>
                <w:szCs w:val="22"/>
              </w:rPr>
              <w:t>健全性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项目实施单位的财务和业务管理制度是否健全，用以反映和考核财务和业务管理制度对项目顺利实施的保障情况。</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①是否已制定或具有相应的财务和业务管理制度；</w:t>
            </w:r>
            <w:r>
              <w:rPr>
                <w:color w:val="000000"/>
                <w:kern w:val="0"/>
                <w:sz w:val="22"/>
                <w:szCs w:val="22"/>
              </w:rPr>
              <w:br w:type="textWrapping"/>
            </w:r>
            <w:r>
              <w:rPr>
                <w:color w:val="000000"/>
                <w:kern w:val="0"/>
                <w:sz w:val="22"/>
                <w:szCs w:val="22"/>
              </w:rPr>
              <w:t>②财务和业务管理制度是否合法、合规、完整。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0"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制度执行</w:t>
            </w:r>
          </w:p>
          <w:p>
            <w:pPr>
              <w:widowControl/>
              <w:spacing w:line="0" w:lineRule="atLeast"/>
              <w:jc w:val="center"/>
              <w:rPr>
                <w:color w:val="000000"/>
                <w:kern w:val="0"/>
                <w:sz w:val="22"/>
                <w:szCs w:val="22"/>
              </w:rPr>
            </w:pPr>
            <w:r>
              <w:rPr>
                <w:color w:val="000000"/>
                <w:kern w:val="0"/>
                <w:sz w:val="22"/>
                <w:szCs w:val="22"/>
              </w:rPr>
              <w:t>有效性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项目实施是否符合相关管理规定，用以反映和考核相关管理制度的有效执行情况。</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①是否遵守相关法律法规和相关管理规定；</w:t>
            </w:r>
            <w:r>
              <w:rPr>
                <w:color w:val="000000"/>
                <w:kern w:val="0"/>
                <w:sz w:val="22"/>
                <w:szCs w:val="22"/>
              </w:rPr>
              <w:br w:type="textWrapping"/>
            </w:r>
            <w:r>
              <w:rPr>
                <w:color w:val="000000"/>
                <w:kern w:val="0"/>
                <w:sz w:val="22"/>
                <w:szCs w:val="22"/>
              </w:rPr>
              <w:t>②项目调整及支出调整手续是否完备；</w:t>
            </w:r>
            <w:r>
              <w:rPr>
                <w:color w:val="000000"/>
                <w:kern w:val="0"/>
                <w:sz w:val="22"/>
                <w:szCs w:val="22"/>
              </w:rPr>
              <w:br w:type="textWrapping"/>
            </w:r>
            <w:r>
              <w:rPr>
                <w:color w:val="000000"/>
                <w:kern w:val="0"/>
                <w:sz w:val="22"/>
                <w:szCs w:val="22"/>
              </w:rPr>
              <w:t>③项目合同书、验收报告、技术鉴定等资料是否齐全并及时归档；</w:t>
            </w:r>
            <w:r>
              <w:rPr>
                <w:color w:val="000000"/>
                <w:kern w:val="0"/>
                <w:sz w:val="22"/>
                <w:szCs w:val="22"/>
              </w:rPr>
              <w:br w:type="textWrapping"/>
            </w:r>
            <w:r>
              <w:rPr>
                <w:color w:val="000000"/>
                <w:kern w:val="0"/>
                <w:sz w:val="22"/>
                <w:szCs w:val="22"/>
              </w:rPr>
              <w:t>④项目实施的人员条件、场地设备、信息支撑等是否落实到位。</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27"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产出</w:t>
            </w:r>
          </w:p>
        </w:tc>
        <w:tc>
          <w:tcPr>
            <w:tcW w:w="300"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产出数量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实际完成率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项目实施的实际产出数与计划产出数的比率，用以反映和考核项目产出数量目标的实现程度。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实际完成率=（实际产出数/计划产出数）×100%。</w:t>
            </w:r>
            <w:r>
              <w:rPr>
                <w:color w:val="000000"/>
                <w:kern w:val="0"/>
                <w:sz w:val="22"/>
                <w:szCs w:val="22"/>
              </w:rPr>
              <w:br w:type="textWrapping"/>
            </w:r>
            <w:r>
              <w:rPr>
                <w:color w:val="000000"/>
                <w:kern w:val="0"/>
                <w:sz w:val="22"/>
                <w:szCs w:val="22"/>
              </w:rPr>
              <w:t>实际产出数：一定时期（本年度或项目期）内项目实际产出的产品或提供的服务数量。</w:t>
            </w:r>
            <w:r>
              <w:rPr>
                <w:color w:val="000000"/>
                <w:kern w:val="0"/>
                <w:sz w:val="22"/>
                <w:szCs w:val="22"/>
              </w:rPr>
              <w:br w:type="textWrapping"/>
            </w:r>
            <w:r>
              <w:rPr>
                <w:color w:val="000000"/>
                <w:kern w:val="0"/>
                <w:sz w:val="22"/>
                <w:szCs w:val="22"/>
              </w:rPr>
              <w:t>计划产出数：项目绩效目标确定的在一定时期（本年度或项目期）内计划产出的产品或提供的服务数量。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0"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产出质量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质量达标率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项目完成的质量达标产出数与实际产出数的比率，用以反映和考核项目产出质量目标的实现程度。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质量达标率=（质量达标产出数/实际产出数）×100%。</w:t>
            </w:r>
          </w:p>
          <w:p>
            <w:pPr>
              <w:widowControl/>
              <w:spacing w:line="0" w:lineRule="atLeast"/>
              <w:rPr>
                <w:color w:val="000000"/>
                <w:kern w:val="0"/>
                <w:sz w:val="22"/>
                <w:szCs w:val="22"/>
              </w:rPr>
            </w:pPr>
            <w:r>
              <w:rPr>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shd w:val="clear" w:color="auto" w:fill="FFFFFF"/>
            <w:vAlign w:val="center"/>
          </w:tcPr>
          <w:p>
            <w:pPr>
              <w:spacing w:line="0" w:lineRule="atLeast"/>
              <w:jc w:val="center"/>
              <w:rPr>
                <w:color w:val="000000"/>
                <w:kern w:val="0"/>
                <w:sz w:val="22"/>
                <w:szCs w:val="22"/>
              </w:rPr>
            </w:pPr>
            <w:r>
              <w:rPr>
                <w:color w:val="000000"/>
                <w:kern w:val="0"/>
                <w:sz w:val="22"/>
                <w:szCs w:val="22"/>
              </w:rPr>
              <w:t>产出时效</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完成及时性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项目实际完成时间与计划完成时间的比较，用以反映和考核项目产出时效目标的实现程度。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实际完成时间：项目实施单位完成该项目实际所耗用的时间。</w:t>
            </w:r>
            <w:r>
              <w:rPr>
                <w:color w:val="000000"/>
                <w:kern w:val="0"/>
                <w:sz w:val="22"/>
                <w:szCs w:val="22"/>
              </w:rPr>
              <w:br w:type="textWrapping"/>
            </w:r>
            <w:r>
              <w:rPr>
                <w:color w:val="000000"/>
                <w:kern w:val="0"/>
                <w:sz w:val="22"/>
                <w:szCs w:val="22"/>
              </w:rPr>
              <w:t>计划完成时间：按照项目实施计划或相关规定完成该项目所需的时间。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0"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产出成本</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成本节约率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完成项目计划工作目标的实际节约成本与计划成本的比率，用以反映和考核项目的成本节约程度。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br w:type="textWrapping"/>
            </w:r>
            <w:r>
              <w:rPr>
                <w:color w:val="000000"/>
                <w:kern w:val="0"/>
                <w:sz w:val="22"/>
                <w:szCs w:val="22"/>
              </w:rPr>
              <w:t>成本节约率=[（计划成本-实际成本）/计划成本]×100%。</w:t>
            </w:r>
            <w:r>
              <w:rPr>
                <w:color w:val="000000"/>
                <w:kern w:val="0"/>
                <w:sz w:val="22"/>
                <w:szCs w:val="22"/>
              </w:rPr>
              <w:br w:type="textWrapping"/>
            </w:r>
            <w:r>
              <w:rPr>
                <w:color w:val="000000"/>
                <w:kern w:val="0"/>
                <w:sz w:val="22"/>
                <w:szCs w:val="22"/>
              </w:rPr>
              <w:t>实际成本：项目实施单位如期、保质、保量完成既定工作目标实际所耗费的支出。</w:t>
            </w:r>
            <w:r>
              <w:rPr>
                <w:color w:val="000000"/>
                <w:kern w:val="0"/>
                <w:sz w:val="22"/>
                <w:szCs w:val="22"/>
              </w:rPr>
              <w:br w:type="textWrapping"/>
            </w:r>
            <w:r>
              <w:rPr>
                <w:color w:val="000000"/>
                <w:kern w:val="0"/>
                <w:sz w:val="22"/>
                <w:szCs w:val="22"/>
              </w:rPr>
              <w:t>计划成本：项目实施单位为完成工作目标计划安排的支出，一般以项目预算为参考。</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27"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效益　</w:t>
            </w:r>
          </w:p>
        </w:tc>
        <w:tc>
          <w:tcPr>
            <w:tcW w:w="300"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项目效益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实施效益</w:t>
            </w:r>
          </w:p>
        </w:tc>
        <w:tc>
          <w:tcPr>
            <w:tcW w:w="927" w:type="pct"/>
            <w:shd w:val="clear" w:color="auto" w:fill="FFFFFF"/>
            <w:vAlign w:val="center"/>
          </w:tcPr>
          <w:p>
            <w:pPr>
              <w:widowControl/>
              <w:spacing w:line="0" w:lineRule="atLeast"/>
              <w:jc w:val="left"/>
              <w:rPr>
                <w:color w:val="000000"/>
                <w:kern w:val="0"/>
                <w:sz w:val="22"/>
                <w:szCs w:val="22"/>
              </w:rPr>
            </w:pPr>
            <w:r>
              <w:rPr>
                <w:color w:val="000000"/>
                <w:kern w:val="0"/>
                <w:sz w:val="22"/>
                <w:szCs w:val="22"/>
              </w:rPr>
              <w:t>项目实施所产生的效益。</w:t>
            </w:r>
          </w:p>
        </w:tc>
        <w:tc>
          <w:tcPr>
            <w:tcW w:w="2049" w:type="pct"/>
            <w:shd w:val="clear" w:color="auto" w:fill="FFFFFF"/>
            <w:vAlign w:val="center"/>
          </w:tcPr>
          <w:p>
            <w:pPr>
              <w:widowControl/>
              <w:spacing w:line="0" w:lineRule="atLeast"/>
              <w:rPr>
                <w:color w:val="000000"/>
                <w:kern w:val="0"/>
                <w:sz w:val="22"/>
                <w:szCs w:val="22"/>
              </w:rPr>
            </w:pPr>
            <w:r>
              <w:rPr>
                <w:color w:val="000000"/>
                <w:kern w:val="0"/>
                <w:sz w:val="22"/>
                <w:szCs w:val="22"/>
              </w:rPr>
              <w:t>项目实施所产生的社会效益、经济效益、生态效益、可持续影响等。可根据项目实际情况有选择地设置和细化。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0"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满意度</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社会公众或服务对象对项目实施效果的满意程度。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社会公众或服务对象是指因该项目实施而受到影响的部门（单位）、群体或个人。一般采取社会调查的方式。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bl>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379A8"/>
    <w:multiLevelType w:val="singleLevel"/>
    <w:tmpl w:val="FF9379A8"/>
    <w:lvl w:ilvl="0" w:tentative="0">
      <w:start w:val="2"/>
      <w:numFmt w:val="chineseCounting"/>
      <w:suff w:val="nothing"/>
      <w:lvlText w:val="（%1）"/>
      <w:lvlJc w:val="left"/>
      <w:rPr>
        <w:rFonts w:hint="eastAsia"/>
      </w:rPr>
    </w:lvl>
  </w:abstractNum>
  <w:abstractNum w:abstractNumId="1">
    <w:nsid w:val="116B29BF"/>
    <w:multiLevelType w:val="singleLevel"/>
    <w:tmpl w:val="116B29BF"/>
    <w:lvl w:ilvl="0" w:tentative="0">
      <w:start w:val="3"/>
      <w:numFmt w:val="chineseCounting"/>
      <w:suff w:val="nothing"/>
      <w:lvlText w:val="%1、"/>
      <w:lvlJc w:val="left"/>
      <w:rPr>
        <w:rFonts w:hint="eastAsia"/>
      </w:rPr>
    </w:lvl>
  </w:abstractNum>
  <w:abstractNum w:abstractNumId="2">
    <w:nsid w:val="27813159"/>
    <w:multiLevelType w:val="singleLevel"/>
    <w:tmpl w:val="27813159"/>
    <w:lvl w:ilvl="0" w:tentative="0">
      <w:start w:val="3"/>
      <w:numFmt w:val="chineseCounting"/>
      <w:suff w:val="nothing"/>
      <w:lvlText w:val="（%1）"/>
      <w:lvlJc w:val="left"/>
      <w:rPr>
        <w:rFonts w:hint="eastAsia"/>
      </w:rPr>
    </w:lvl>
  </w:abstractNum>
  <w:abstractNum w:abstractNumId="3">
    <w:nsid w:val="6FAA0AB1"/>
    <w:multiLevelType w:val="singleLevel"/>
    <w:tmpl w:val="6FAA0AB1"/>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NjM3ZjNmMGUxY2E3MTg1Y2U0Y2MxMzlkMDRhODkifQ=="/>
  </w:docVars>
  <w:rsids>
    <w:rsidRoot w:val="FF6C4049"/>
    <w:rsid w:val="00054412"/>
    <w:rsid w:val="000C5735"/>
    <w:rsid w:val="001E18BB"/>
    <w:rsid w:val="00206E5B"/>
    <w:rsid w:val="0021674D"/>
    <w:rsid w:val="00234058"/>
    <w:rsid w:val="0023675D"/>
    <w:rsid w:val="002E7F2B"/>
    <w:rsid w:val="00326E19"/>
    <w:rsid w:val="00375A23"/>
    <w:rsid w:val="00396449"/>
    <w:rsid w:val="00470DE0"/>
    <w:rsid w:val="00492A6D"/>
    <w:rsid w:val="004C458F"/>
    <w:rsid w:val="004C7D30"/>
    <w:rsid w:val="004D2A99"/>
    <w:rsid w:val="00501BD0"/>
    <w:rsid w:val="0055058A"/>
    <w:rsid w:val="0059411E"/>
    <w:rsid w:val="005B2EBF"/>
    <w:rsid w:val="005C1B6A"/>
    <w:rsid w:val="005D2CE1"/>
    <w:rsid w:val="005E5CDC"/>
    <w:rsid w:val="005F037B"/>
    <w:rsid w:val="006877EC"/>
    <w:rsid w:val="006F7242"/>
    <w:rsid w:val="00702B9F"/>
    <w:rsid w:val="00722E66"/>
    <w:rsid w:val="0075111A"/>
    <w:rsid w:val="00794B4C"/>
    <w:rsid w:val="007B168A"/>
    <w:rsid w:val="008245EC"/>
    <w:rsid w:val="00895EF0"/>
    <w:rsid w:val="008B2CFE"/>
    <w:rsid w:val="009B41B8"/>
    <w:rsid w:val="009D7E35"/>
    <w:rsid w:val="00A10D63"/>
    <w:rsid w:val="00A20704"/>
    <w:rsid w:val="00B75141"/>
    <w:rsid w:val="00BD16D8"/>
    <w:rsid w:val="00BD5E48"/>
    <w:rsid w:val="00C36B34"/>
    <w:rsid w:val="00C407A6"/>
    <w:rsid w:val="00C86370"/>
    <w:rsid w:val="00CA7EEA"/>
    <w:rsid w:val="00CF3045"/>
    <w:rsid w:val="00D177F5"/>
    <w:rsid w:val="00DF1A6E"/>
    <w:rsid w:val="00E7254C"/>
    <w:rsid w:val="00ED30C0"/>
    <w:rsid w:val="00F04011"/>
    <w:rsid w:val="00F26FF6"/>
    <w:rsid w:val="00FC483C"/>
    <w:rsid w:val="018D3D68"/>
    <w:rsid w:val="024F7D9B"/>
    <w:rsid w:val="02A86B17"/>
    <w:rsid w:val="068E17D9"/>
    <w:rsid w:val="06DF3C43"/>
    <w:rsid w:val="07153E89"/>
    <w:rsid w:val="07397B77"/>
    <w:rsid w:val="08283748"/>
    <w:rsid w:val="09297778"/>
    <w:rsid w:val="0AFA13CC"/>
    <w:rsid w:val="0C8353F1"/>
    <w:rsid w:val="0EB26CF5"/>
    <w:rsid w:val="0F135152"/>
    <w:rsid w:val="11E06E41"/>
    <w:rsid w:val="126637EB"/>
    <w:rsid w:val="13471461"/>
    <w:rsid w:val="136617BC"/>
    <w:rsid w:val="13B90F01"/>
    <w:rsid w:val="178C784F"/>
    <w:rsid w:val="181066D2"/>
    <w:rsid w:val="18B51028"/>
    <w:rsid w:val="19707AD0"/>
    <w:rsid w:val="1C671E73"/>
    <w:rsid w:val="1FAD4807"/>
    <w:rsid w:val="21F52495"/>
    <w:rsid w:val="231B5F2B"/>
    <w:rsid w:val="23CB16FF"/>
    <w:rsid w:val="252B6457"/>
    <w:rsid w:val="25C42383"/>
    <w:rsid w:val="2801715F"/>
    <w:rsid w:val="280451E0"/>
    <w:rsid w:val="28985A17"/>
    <w:rsid w:val="29852351"/>
    <w:rsid w:val="2C5C24CB"/>
    <w:rsid w:val="2C862667"/>
    <w:rsid w:val="31182B58"/>
    <w:rsid w:val="34896202"/>
    <w:rsid w:val="36160F00"/>
    <w:rsid w:val="364610BA"/>
    <w:rsid w:val="381F1BC2"/>
    <w:rsid w:val="38CA40DD"/>
    <w:rsid w:val="395F2B56"/>
    <w:rsid w:val="3B4F27BE"/>
    <w:rsid w:val="3BECE841"/>
    <w:rsid w:val="3D095526"/>
    <w:rsid w:val="3D7D3613"/>
    <w:rsid w:val="3E8234A2"/>
    <w:rsid w:val="3F5465F5"/>
    <w:rsid w:val="3FF7797D"/>
    <w:rsid w:val="420473BE"/>
    <w:rsid w:val="44D25191"/>
    <w:rsid w:val="45B36E72"/>
    <w:rsid w:val="482566C4"/>
    <w:rsid w:val="485734A5"/>
    <w:rsid w:val="4A871F75"/>
    <w:rsid w:val="4AAF6AD2"/>
    <w:rsid w:val="4AE20702"/>
    <w:rsid w:val="4C60482B"/>
    <w:rsid w:val="4CCB3EED"/>
    <w:rsid w:val="4F1823CB"/>
    <w:rsid w:val="4F194C19"/>
    <w:rsid w:val="51260BD7"/>
    <w:rsid w:val="52070EBE"/>
    <w:rsid w:val="52FB3500"/>
    <w:rsid w:val="54825618"/>
    <w:rsid w:val="550A17D8"/>
    <w:rsid w:val="550E5329"/>
    <w:rsid w:val="559D3B69"/>
    <w:rsid w:val="579173FB"/>
    <w:rsid w:val="58EB206D"/>
    <w:rsid w:val="5BFF6039"/>
    <w:rsid w:val="5D1740AB"/>
    <w:rsid w:val="5D217368"/>
    <w:rsid w:val="5D76A616"/>
    <w:rsid w:val="5D7F20B9"/>
    <w:rsid w:val="5DAC7D0E"/>
    <w:rsid w:val="5F13572D"/>
    <w:rsid w:val="5F98B5AF"/>
    <w:rsid w:val="5FFE8511"/>
    <w:rsid w:val="5FFEACE2"/>
    <w:rsid w:val="60795A64"/>
    <w:rsid w:val="62A019CE"/>
    <w:rsid w:val="638B79C4"/>
    <w:rsid w:val="643EE26D"/>
    <w:rsid w:val="6502427A"/>
    <w:rsid w:val="66F6096B"/>
    <w:rsid w:val="690D7691"/>
    <w:rsid w:val="691427CE"/>
    <w:rsid w:val="69A91168"/>
    <w:rsid w:val="6AA542DB"/>
    <w:rsid w:val="6AFA59F3"/>
    <w:rsid w:val="6B3D656B"/>
    <w:rsid w:val="6E396833"/>
    <w:rsid w:val="6E5F3192"/>
    <w:rsid w:val="6F5C41AC"/>
    <w:rsid w:val="6F7459D0"/>
    <w:rsid w:val="6FAF6C78"/>
    <w:rsid w:val="70AB0289"/>
    <w:rsid w:val="71E06A6C"/>
    <w:rsid w:val="7317C656"/>
    <w:rsid w:val="734ED73F"/>
    <w:rsid w:val="76F45775"/>
    <w:rsid w:val="77FD8BE9"/>
    <w:rsid w:val="79167E9C"/>
    <w:rsid w:val="797F0137"/>
    <w:rsid w:val="79A9BD3F"/>
    <w:rsid w:val="7B8C6B3B"/>
    <w:rsid w:val="7BFFFDD0"/>
    <w:rsid w:val="7C336E5F"/>
    <w:rsid w:val="7D0D7808"/>
    <w:rsid w:val="7D7A5F86"/>
    <w:rsid w:val="7EDA196C"/>
    <w:rsid w:val="7F007624"/>
    <w:rsid w:val="7F37BB4E"/>
    <w:rsid w:val="7F601F2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Char"/>
    <w:basedOn w:val="14"/>
    <w:link w:val="7"/>
    <w:qFormat/>
    <w:uiPriority w:val="0"/>
    <w:rPr>
      <w:rFonts w:ascii="Times New Roman" w:hAnsi="Times New Roman" w:eastAsia="宋体" w:cs="Times New Roman"/>
      <w:kern w:val="2"/>
      <w:sz w:val="18"/>
      <w:szCs w:val="18"/>
    </w:rPr>
  </w:style>
  <w:style w:type="character" w:customStyle="1" w:styleId="20">
    <w:name w:val="页眉 Char"/>
    <w:basedOn w:val="14"/>
    <w:link w:val="9"/>
    <w:qFormat/>
    <w:uiPriority w:val="0"/>
    <w:rPr>
      <w:rFonts w:ascii="Times New Roman" w:hAnsi="Times New Roman" w:eastAsia="宋体" w:cs="Times New Roman"/>
      <w:kern w:val="2"/>
      <w:sz w:val="18"/>
      <w:szCs w:val="18"/>
    </w:rPr>
  </w:style>
  <w:style w:type="character" w:customStyle="1" w:styleId="21">
    <w:name w:val="批注文字 Char"/>
    <w:basedOn w:val="14"/>
    <w:link w:val="4"/>
    <w:qFormat/>
    <w:uiPriority w:val="0"/>
    <w:rPr>
      <w:rFonts w:ascii="Times New Roman" w:hAnsi="Times New Roman" w:eastAsia="宋体" w:cs="Times New Roman"/>
      <w:kern w:val="2"/>
      <w:sz w:val="21"/>
      <w:szCs w:val="24"/>
    </w:rPr>
  </w:style>
  <w:style w:type="character" w:customStyle="1" w:styleId="22">
    <w:name w:val="批注主题 Char"/>
    <w:basedOn w:val="21"/>
    <w:link w:val="10"/>
    <w:qFormat/>
    <w:uiPriority w:val="0"/>
    <w:rPr>
      <w:rFonts w:ascii="Times New Roman" w:hAnsi="Times New Roman" w:eastAsia="宋体" w:cs="Times New Roman"/>
      <w:b/>
      <w:bCs/>
      <w:kern w:val="2"/>
      <w:sz w:val="21"/>
      <w:szCs w:val="24"/>
    </w:rPr>
  </w:style>
  <w:style w:type="character" w:customStyle="1" w:styleId="23">
    <w:name w:val="font4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10163</Words>
  <Characters>10537</Characters>
  <Lines>9</Lines>
  <Paragraphs>23</Paragraphs>
  <TotalTime>4</TotalTime>
  <ScaleCrop>false</ScaleCrop>
  <LinksUpToDate>false</LinksUpToDate>
  <CharactersWithSpaces>10546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2023-03-08T21:13:00Z</dcterms:created>
  <dc:creator>审核人</dc:creator>
  <cp:lastModifiedBy>wlt</cp:lastModifiedBy>
  <cp:lastPrinted>2023-04-07T10:39:00Z</cp:lastPrinted>
  <dcterms:modified xsi:type="dcterms:W3CDTF">2024-01-09T12:31:36Z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DEB37354E36D40D48F20A3DAB18895C3</vt:lpwstr>
  </property>
</Properties>
</file>