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rPr>
      </w:pPr>
    </w:p>
    <w:p>
      <w:pPr>
        <w:spacing w:line="540" w:lineRule="exact"/>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方正小标宋_GBK"/>
          <w:kern w:val="0"/>
          <w:sz w:val="48"/>
          <w:szCs w:val="48"/>
        </w:rPr>
      </w:pPr>
      <w:r>
        <w:rPr>
          <w:rFonts w:hint="eastAsia" w:eastAsia="方正小标宋_GBK"/>
          <w:kern w:val="0"/>
          <w:sz w:val="48"/>
          <w:szCs w:val="48"/>
          <w:lang w:val="en-US" w:eastAsia="zh-CN"/>
        </w:rPr>
        <w:t>自治区本级政府购买演出</w:t>
      </w:r>
      <w:r>
        <w:rPr>
          <w:rFonts w:eastAsia="方正小标宋_GBK"/>
          <w:kern w:val="0"/>
          <w:sz w:val="48"/>
          <w:szCs w:val="48"/>
        </w:rPr>
        <w:t>资金项目支出绩效评价</w:t>
      </w:r>
    </w:p>
    <w:p>
      <w:pPr>
        <w:spacing w:line="540" w:lineRule="exact"/>
        <w:jc w:val="center"/>
        <w:rPr>
          <w:rFonts w:eastAsia="方正小标宋_GBK"/>
          <w:kern w:val="0"/>
          <w:sz w:val="48"/>
          <w:szCs w:val="48"/>
        </w:rPr>
      </w:pPr>
      <w:r>
        <w:rPr>
          <w:rFonts w:eastAsia="方正小标宋_GBK"/>
          <w:kern w:val="0"/>
          <w:sz w:val="48"/>
          <w:szCs w:val="48"/>
        </w:rPr>
        <w:t>报告</w:t>
      </w:r>
    </w:p>
    <w:p>
      <w:pPr>
        <w:spacing w:line="540" w:lineRule="exact"/>
        <w:jc w:val="center"/>
        <w:rPr>
          <w:rFonts w:eastAsia="华文中宋"/>
          <w:b/>
          <w:kern w:val="0"/>
          <w:sz w:val="52"/>
          <w:szCs w:val="52"/>
        </w:rPr>
      </w:pPr>
    </w:p>
    <w:p>
      <w:pPr>
        <w:spacing w:line="540" w:lineRule="exact"/>
        <w:jc w:val="center"/>
        <w:rPr>
          <w:rFonts w:eastAsia="仿宋_GB2312"/>
          <w:kern w:val="0"/>
          <w:sz w:val="36"/>
          <w:szCs w:val="36"/>
        </w:rPr>
      </w:pPr>
      <w:r>
        <w:rPr>
          <w:rFonts w:eastAsia="仿宋_GB2312"/>
          <w:kern w:val="0"/>
          <w:sz w:val="36"/>
          <w:szCs w:val="36"/>
        </w:rPr>
        <w:t>（ 2022年度）</w:t>
      </w: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pStyle w:val="2"/>
      </w:pPr>
    </w:p>
    <w:p>
      <w:pPr>
        <w:spacing w:line="540" w:lineRule="exact"/>
        <w:jc w:val="center"/>
        <w:rPr>
          <w:rFonts w:eastAsia="仿宋_GB2312"/>
          <w:kern w:val="0"/>
          <w:sz w:val="30"/>
          <w:szCs w:val="30"/>
        </w:rPr>
      </w:pPr>
    </w:p>
    <w:p>
      <w:pPr>
        <w:spacing w:line="540" w:lineRule="exact"/>
        <w:rPr>
          <w:rFonts w:eastAsia="仿宋_GB2312"/>
          <w:kern w:val="0"/>
          <w:sz w:val="30"/>
          <w:szCs w:val="30"/>
        </w:rPr>
      </w:pPr>
    </w:p>
    <w:p>
      <w:pPr>
        <w:spacing w:line="700" w:lineRule="exact"/>
        <w:ind w:firstLine="1440" w:firstLineChars="400"/>
        <w:jc w:val="left"/>
        <w:rPr>
          <w:rFonts w:hint="default" w:eastAsia="仿宋_GB2312"/>
          <w:kern w:val="0"/>
          <w:sz w:val="36"/>
          <w:szCs w:val="36"/>
          <w:lang w:val="en-US" w:eastAsia="zh-CN"/>
        </w:rPr>
      </w:pPr>
      <w:r>
        <w:rPr>
          <w:rFonts w:eastAsia="仿宋_GB2312"/>
          <w:kern w:val="0"/>
          <w:sz w:val="36"/>
          <w:szCs w:val="36"/>
        </w:rPr>
        <w:t>项目名称：</w:t>
      </w:r>
      <w:r>
        <w:rPr>
          <w:rFonts w:hint="eastAsia" w:eastAsia="仿宋_GB2312"/>
          <w:kern w:val="0"/>
          <w:sz w:val="36"/>
          <w:szCs w:val="36"/>
          <w:lang w:val="en-US" w:eastAsia="zh-CN"/>
        </w:rPr>
        <w:t>自治区本级政府购买演出</w:t>
      </w:r>
    </w:p>
    <w:p>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Ansi="宋体" w:eastAsia="仿宋_GB2312" w:cs="宋体"/>
          <w:kern w:val="0"/>
          <w:sz w:val="36"/>
          <w:szCs w:val="36"/>
          <w:shd w:val="clear" w:color="auto" w:fill="FFFFFF"/>
        </w:rPr>
        <w:fldChar w:fldCharType="begin">
          <w:fldData xml:space="preserve">RgA5AEIANQBFAEIAQQBBADcARgBBAEIANAA3ADkAQwBBADgAOABDAEUAQQBGADEANABEADkANgA0
AEEAQgBCAA==
</w:fldData>
        </w:fldChar>
      </w:r>
      <w:r>
        <w:rPr>
          <w:rFonts w:hAnsi="宋体" w:eastAsia="仿宋_GB2312" w:cs="宋体"/>
          <w:kern w:val="0"/>
          <w:sz w:val="36"/>
          <w:szCs w:val="36"/>
          <w:shd w:val="clear" w:color="auto" w:fill="FFFFFF"/>
        </w:rPr>
        <w:instrText xml:space="preserve">Addin 单位名称</w:instrText>
      </w:r>
      <w:r>
        <w:rPr>
          <w:rFonts w:hAnsi="宋体" w:eastAsia="仿宋_GB2312" w:cs="宋体"/>
          <w:kern w:val="0"/>
          <w:sz w:val="36"/>
          <w:szCs w:val="36"/>
          <w:shd w:val="clear" w:color="auto" w:fill="FFFFFF"/>
        </w:rPr>
        <w:fldChar w:fldCharType="separate"/>
      </w:r>
      <w:r>
        <w:rPr>
          <w:rFonts w:hint="eastAsia" w:hAnsi="宋体" w:eastAsia="仿宋_GB2312" w:cs="宋体"/>
          <w:color w:val="000000"/>
          <w:kern w:val="0"/>
          <w:sz w:val="36"/>
          <w:szCs w:val="36"/>
          <w:shd w:val="clear" w:color="FFFFFF" w:fill="FFFFFF"/>
        </w:rPr>
        <w:t>新疆艺术剧院杂技团</w:t>
      </w:r>
      <w:r>
        <w:rPr>
          <w:rFonts w:hAnsi="宋体" w:eastAsia="仿宋_GB2312" w:cs="宋体"/>
          <w:kern w:val="0"/>
          <w:sz w:val="36"/>
          <w:szCs w:val="36"/>
          <w:shd w:val="clear" w:color="auto" w:fill="FFFFFF"/>
        </w:rPr>
        <w:fldChar w:fldCharType="end"/>
      </w:r>
    </w:p>
    <w:p>
      <w:pPr>
        <w:spacing w:line="700" w:lineRule="exact"/>
        <w:ind w:firstLine="849" w:firstLineChars="236"/>
        <w:jc w:val="left"/>
        <w:rPr>
          <w:rFonts w:eastAsia="仿宋_GB2312"/>
          <w:kern w:val="0"/>
          <w:sz w:val="36"/>
          <w:szCs w:val="36"/>
        </w:rPr>
      </w:pPr>
      <w:r>
        <w:rPr>
          <w:rFonts w:eastAsia="仿宋_GB2312"/>
          <w:kern w:val="0"/>
          <w:sz w:val="36"/>
          <w:szCs w:val="36"/>
        </w:rPr>
        <w:t>主管部门（公章）：</w:t>
      </w:r>
      <w:r>
        <w:rPr>
          <w:rFonts w:hAnsi="宋体" w:eastAsia="仿宋_GB2312" w:cs="宋体"/>
          <w:kern w:val="0"/>
          <w:sz w:val="36"/>
          <w:szCs w:val="36"/>
          <w:shd w:val="clear" w:color="auto" w:fill="FFFFFF"/>
        </w:rPr>
        <w:fldChar w:fldCharType="begin">
          <w:fldData xml:space="preserve">MgA0ADMAOQAzAEEANgA1ADAAQwA5ADIANABGADUARQBBADkAMQA0ADQAQQA4ADQAMgA3ADQAQwBD
ADEAMAAyAA==
</w:fldData>
        </w:fldChar>
      </w:r>
      <w:r>
        <w:rPr>
          <w:rFonts w:hAnsi="宋体" w:eastAsia="仿宋_GB2312" w:cs="宋体"/>
          <w:kern w:val="0"/>
          <w:sz w:val="36"/>
          <w:szCs w:val="36"/>
          <w:shd w:val="clear" w:color="auto" w:fill="FFFFFF"/>
        </w:rPr>
        <w:instrText xml:space="preserve">Addin 部门名称</w:instrText>
      </w:r>
      <w:r>
        <w:rPr>
          <w:rFonts w:hAnsi="宋体" w:eastAsia="仿宋_GB2312" w:cs="宋体"/>
          <w:kern w:val="0"/>
          <w:sz w:val="36"/>
          <w:szCs w:val="36"/>
          <w:shd w:val="clear" w:color="auto" w:fill="FFFFFF"/>
        </w:rPr>
        <w:fldChar w:fldCharType="separate"/>
      </w:r>
      <w:r>
        <w:rPr>
          <w:rFonts w:hAnsi="宋体" w:eastAsia="仿宋_GB2312" w:cs="宋体"/>
          <w:color w:val="000000"/>
          <w:kern w:val="0"/>
          <w:sz w:val="36"/>
          <w:szCs w:val="36"/>
          <w:shd w:val="clear" w:color="FFFFFF" w:fill="FFFFFF"/>
        </w:rPr>
        <w:t>自治区文化和旅游厅</w:t>
      </w:r>
      <w:r>
        <w:rPr>
          <w:rFonts w:hAnsi="宋体" w:eastAsia="仿宋_GB2312" w:cs="宋体"/>
          <w:kern w:val="0"/>
          <w:sz w:val="36"/>
          <w:szCs w:val="36"/>
          <w:shd w:val="clear" w:color="auto" w:fill="FFFFFF"/>
        </w:rPr>
        <w:fldChar w:fldCharType="end"/>
      </w:r>
    </w:p>
    <w:p>
      <w:pPr>
        <w:spacing w:line="700" w:lineRule="exact"/>
        <w:ind w:firstLine="1440" w:firstLineChars="400"/>
        <w:jc w:val="left"/>
        <w:rPr>
          <w:rFonts w:hint="eastAsia" w:eastAsia="仿宋_GB2312"/>
          <w:kern w:val="0"/>
          <w:sz w:val="36"/>
          <w:szCs w:val="36"/>
          <w:lang w:eastAsia="zh-CN"/>
        </w:rPr>
      </w:pPr>
      <w:r>
        <w:rPr>
          <w:rFonts w:eastAsia="仿宋_GB2312"/>
          <w:kern w:val="0"/>
          <w:sz w:val="36"/>
          <w:szCs w:val="36"/>
        </w:rPr>
        <w:t>项目负责人（签章）：</w:t>
      </w:r>
      <w:r>
        <w:rPr>
          <w:rFonts w:hint="eastAsia" w:eastAsia="仿宋_GB2312"/>
          <w:kern w:val="0"/>
          <w:sz w:val="36"/>
          <w:szCs w:val="36"/>
          <w:lang w:val="en-US" w:eastAsia="zh-CN"/>
        </w:rPr>
        <w:t>师晓白</w:t>
      </w:r>
    </w:p>
    <w:p>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lang w:val="en-US" w:eastAsia="zh-CN"/>
        </w:rPr>
        <w:t>2023</w:t>
      </w:r>
      <w:r>
        <w:rPr>
          <w:rFonts w:eastAsia="仿宋_GB2312"/>
          <w:kern w:val="0"/>
          <w:sz w:val="36"/>
          <w:szCs w:val="36"/>
        </w:rPr>
        <w:t>年</w:t>
      </w:r>
      <w:r>
        <w:rPr>
          <w:rFonts w:hint="eastAsia" w:eastAsia="仿宋_GB2312"/>
          <w:kern w:val="0"/>
          <w:sz w:val="36"/>
          <w:szCs w:val="36"/>
          <w:lang w:val="en-US" w:eastAsia="zh-CN"/>
        </w:rPr>
        <w:t>4</w:t>
      </w:r>
      <w:r>
        <w:rPr>
          <w:rFonts w:eastAsia="仿宋_GB2312"/>
          <w:kern w:val="0"/>
          <w:sz w:val="36"/>
          <w:szCs w:val="36"/>
        </w:rPr>
        <w:t>月</w:t>
      </w:r>
      <w:r>
        <w:rPr>
          <w:rFonts w:hint="eastAsia" w:eastAsia="仿宋_GB2312"/>
          <w:kern w:val="0"/>
          <w:sz w:val="36"/>
          <w:szCs w:val="36"/>
          <w:lang w:val="en-US" w:eastAsia="zh-CN"/>
        </w:rPr>
        <w:t>6</w:t>
      </w:r>
      <w:r>
        <w:rPr>
          <w:rFonts w:eastAsia="仿宋_GB2312"/>
          <w:kern w:val="0"/>
          <w:sz w:val="36"/>
          <w:szCs w:val="36"/>
        </w:rPr>
        <w:t>日</w:t>
      </w:r>
    </w:p>
    <w:p>
      <w:pPr>
        <w:spacing w:line="540" w:lineRule="exact"/>
        <w:jc w:val="center"/>
        <w:rPr>
          <w:rFonts w:eastAsia="仿宋_GB2312"/>
          <w:kern w:val="0"/>
          <w:sz w:val="30"/>
          <w:szCs w:val="30"/>
        </w:rPr>
      </w:pPr>
    </w:p>
    <w:p>
      <w:pPr>
        <w:spacing w:line="540" w:lineRule="exact"/>
        <w:rPr>
          <w:rStyle w:val="15"/>
          <w:rFonts w:eastAsia="黑体"/>
          <w:b w:val="0"/>
          <w:spacing w:val="-4"/>
          <w:sz w:val="32"/>
          <w:szCs w:val="32"/>
        </w:rPr>
      </w:pPr>
    </w:p>
    <w:p>
      <w:pPr>
        <w:spacing w:line="560" w:lineRule="exact"/>
        <w:rPr>
          <w:rFonts w:eastAsia="黑体"/>
          <w:bCs/>
          <w:sz w:val="32"/>
          <w:szCs w:val="32"/>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rPr>
      </w:pPr>
      <w:r>
        <w:rPr>
          <w:rFonts w:eastAsia="黑体"/>
          <w:bCs/>
          <w:sz w:val="32"/>
          <w:szCs w:val="32"/>
        </w:rPr>
        <w:t>一、基本情况</w:t>
      </w:r>
    </w:p>
    <w:p>
      <w:pPr>
        <w:spacing w:line="560" w:lineRule="exact"/>
        <w:ind w:firstLine="642" w:firstLineChars="200"/>
        <w:rPr>
          <w:rFonts w:eastAsia="楷体_GB2312"/>
          <w:b/>
          <w:bCs/>
          <w:sz w:val="32"/>
          <w:szCs w:val="32"/>
        </w:rPr>
      </w:pPr>
      <w:r>
        <w:rPr>
          <w:rFonts w:eastAsia="楷体_GB2312"/>
          <w:b/>
          <w:bCs/>
          <w:sz w:val="32"/>
          <w:szCs w:val="32"/>
        </w:rPr>
        <w:t>（一）项目概况</w:t>
      </w:r>
    </w:p>
    <w:p>
      <w:pPr>
        <w:spacing w:line="560" w:lineRule="exact"/>
        <w:ind w:firstLine="642" w:firstLineChars="200"/>
        <w:rPr>
          <w:rFonts w:eastAsia="仿宋_GB2312"/>
          <w:b/>
          <w:bCs/>
          <w:sz w:val="32"/>
          <w:szCs w:val="32"/>
        </w:rPr>
      </w:pPr>
      <w:r>
        <w:rPr>
          <w:rFonts w:eastAsia="仿宋_GB2312"/>
          <w:b/>
          <w:bCs/>
          <w:sz w:val="32"/>
          <w:szCs w:val="32"/>
        </w:rPr>
        <w:t>1、项目背景</w:t>
      </w:r>
    </w:p>
    <w:p>
      <w:pPr>
        <w:pStyle w:val="2"/>
        <w:jc w:val="left"/>
      </w:pPr>
      <w:r>
        <w:rPr>
          <w:rFonts w:hint="eastAsia"/>
          <w:lang w:val="en-US" w:eastAsia="zh-CN"/>
        </w:rPr>
        <w:t xml:space="preserve">    </w:t>
      </w:r>
      <w:r>
        <w:rPr>
          <w:rFonts w:hint="eastAsia" w:ascii="Times New Roman" w:hAnsi="Times New Roman" w:eastAsia="仿宋_GB2312" w:cs="Times New Roman"/>
          <w:b w:val="0"/>
          <w:bCs w:val="0"/>
          <w:kern w:val="2"/>
          <w:sz w:val="32"/>
          <w:szCs w:val="32"/>
          <w:lang w:val="en-US" w:eastAsia="zh-CN" w:bidi="ar-SA"/>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w:t>
      </w:r>
    </w:p>
    <w:p>
      <w:pPr>
        <w:pStyle w:val="2"/>
        <w:numPr>
          <w:ilvl w:val="0"/>
          <w:numId w:val="1"/>
        </w:numPr>
        <w:spacing w:before="0" w:after="0" w:line="560" w:lineRule="exact"/>
        <w:ind w:firstLine="642" w:firstLineChars="200"/>
        <w:jc w:val="both"/>
        <w:rPr>
          <w:rFonts w:ascii="Times New Roman" w:hAnsi="Times New Roman" w:eastAsia="仿宋_GB2312"/>
          <w:kern w:val="2"/>
        </w:rPr>
      </w:pPr>
      <w:r>
        <w:rPr>
          <w:rFonts w:ascii="Times New Roman" w:hAnsi="Times New Roman" w:eastAsia="仿宋_GB2312"/>
          <w:kern w:val="2"/>
        </w:rPr>
        <w:t>项目主要内容：</w:t>
      </w:r>
    </w:p>
    <w:p>
      <w:pPr>
        <w:pStyle w:val="2"/>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项目主要内容：</w:t>
      </w:r>
    </w:p>
    <w:p>
      <w:pPr>
        <w:pStyle w:val="2"/>
        <w:ind w:firstLine="640" w:firstLineChars="200"/>
        <w:jc w:val="left"/>
        <w:rPr>
          <w:rFonts w:hint="eastAsia" w:eastAsia="黑体"/>
          <w:highlight w:val="yellow"/>
          <w:lang w:eastAsia="zh-CN"/>
        </w:rPr>
      </w:pPr>
      <w:r>
        <w:rPr>
          <w:rFonts w:hint="eastAsia" w:ascii="Times New Roman" w:hAnsi="Times New Roman" w:eastAsia="仿宋_GB2312" w:cs="Times New Roman"/>
          <w:b w:val="0"/>
          <w:bCs w:val="0"/>
          <w:kern w:val="2"/>
          <w:sz w:val="32"/>
          <w:szCs w:val="32"/>
          <w:lang w:val="en-US" w:eastAsia="zh-CN" w:bidi="ar-SA"/>
        </w:rPr>
        <w:t>政府购买演出补助资金优先用于新疆艺术剧院杂技团在职人员绩效工资发放和其他工资福利费用支出、并用于办公经费、公务用车运行维护费、消防设备购置等开支。</w:t>
      </w:r>
    </w:p>
    <w:p>
      <w:pPr>
        <w:spacing w:line="560" w:lineRule="exact"/>
        <w:ind w:firstLine="640" w:firstLineChars="200"/>
      </w:pPr>
      <w:r>
        <w:rPr>
          <w:rFonts w:eastAsia="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2" w:firstLineChars="200"/>
        <w:rPr>
          <w:rFonts w:eastAsia="仿宋_GB2312"/>
          <w:b/>
          <w:bCs/>
          <w:sz w:val="32"/>
          <w:szCs w:val="32"/>
        </w:rPr>
      </w:pPr>
      <w:r>
        <w:rPr>
          <w:rFonts w:eastAsia="仿宋_GB2312"/>
          <w:b/>
          <w:bCs/>
          <w:sz w:val="32"/>
          <w:szCs w:val="32"/>
        </w:rPr>
        <w:t>3、资金投入和使用情况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该项目年初预算数250万元，全年预算数250万元，实际总投入250万元，该项目资金已全部落实到位，资金来源为财政拨款。</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250万元，全年预算数250万元，全年执行数248万元，预算执行率为99.2%，主要用于：弥补人员工资绩效226.05万元，办公经费1.7万元，公务用车运行维护费7.5万元，弥补其他工资福利支出11.55万元，设备购置费1.2万元。</w:t>
      </w:r>
    </w:p>
    <w:p>
      <w:pPr>
        <w:spacing w:line="560" w:lineRule="exact"/>
        <w:ind w:firstLine="642" w:firstLineChars="200"/>
        <w:rPr>
          <w:rFonts w:eastAsia="楷体_GB2312"/>
          <w:b/>
          <w:bCs/>
          <w:sz w:val="32"/>
          <w:szCs w:val="32"/>
        </w:rPr>
      </w:pPr>
      <w:r>
        <w:rPr>
          <w:rFonts w:eastAsia="楷体_GB2312"/>
          <w:b/>
          <w:bCs/>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1、总体目标</w:t>
      </w:r>
    </w:p>
    <w:p>
      <w:pPr>
        <w:spacing w:line="560" w:lineRule="exact"/>
        <w:ind w:firstLine="640" w:firstLineChars="200"/>
        <w:rPr>
          <w:rFonts w:eastAsia="仿宋_GB2312"/>
          <w:sz w:val="32"/>
          <w:szCs w:val="32"/>
        </w:rPr>
      </w:pPr>
      <w:r>
        <w:rPr>
          <w:rFonts w:hint="eastAsia" w:eastAsia="仿宋_GB2312"/>
          <w:sz w:val="32"/>
          <w:szCs w:val="32"/>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政府购买演出补助资金优先用于自治区级文艺院团在职人员绩效工资发放和其他工资福利费用支出、并用于办公经费、公务用车运行维护费、消防设备购置等开支。</w:t>
      </w:r>
    </w:p>
    <w:p>
      <w:pPr>
        <w:numPr>
          <w:ilvl w:val="0"/>
          <w:numId w:val="1"/>
        </w:numPr>
        <w:spacing w:line="560" w:lineRule="exact"/>
        <w:ind w:left="0" w:leftChars="0" w:firstLine="640" w:firstLineChars="200"/>
        <w:rPr>
          <w:rFonts w:eastAsia="仿宋_GB2312"/>
          <w:sz w:val="32"/>
          <w:szCs w:val="32"/>
        </w:rPr>
      </w:pPr>
      <w:r>
        <w:rPr>
          <w:rFonts w:eastAsia="仿宋_GB2312"/>
          <w:sz w:val="32"/>
          <w:szCs w:val="32"/>
        </w:rPr>
        <w:t>阶段性目标</w:t>
      </w:r>
    </w:p>
    <w:p>
      <w:pPr>
        <w:adjustRightInd w:val="0"/>
        <w:snapToGrid w:val="0"/>
        <w:spacing w:line="560" w:lineRule="exact"/>
        <w:ind w:firstLine="624" w:firstLineChars="200"/>
        <w:rPr>
          <w:rFonts w:hint="eastAsia" w:ascii="仿宋_GB2312" w:eastAsia="仿宋_GB2312"/>
          <w:color w:val="000000"/>
          <w:spacing w:val="-4"/>
          <w:sz w:val="32"/>
          <w:szCs w:val="32"/>
          <w:shd w:val="clear" w:color="FFFFFF" w:fill="FFFFFF"/>
          <w:lang w:val="en-US" w:eastAsia="zh-CN"/>
        </w:rPr>
      </w:pPr>
      <w:r>
        <w:rPr>
          <w:rFonts w:hint="eastAsia" w:ascii="仿宋_GB2312" w:eastAsia="仿宋_GB2312"/>
          <w:color w:val="000000"/>
          <w:spacing w:val="-4"/>
          <w:sz w:val="32"/>
          <w:szCs w:val="32"/>
          <w:shd w:val="clear" w:color="FFFFFF" w:fill="FFFFFF"/>
          <w:lang w:val="en-US" w:eastAsia="zh-CN"/>
        </w:rPr>
        <w:t>深入学习贯彻习近平总书记系列重要讲话精神、特别是在中央第二次新疆工作座谈会和视察新疆时的重要讲话精神,紧紧围绕社会稳定和长治久安总目标，坚持中国特色社会主义文化发展道路，坚定文化自信，坚守中华文化立场，坚持以人民为中心的创作导向,在不断推进创作生产的同时，把以人民为中心作为创作工作的出发点和落脚点，为各族群众奉献大量的文艺演出培育形成“建设美丽新疆、共圆祖国梦想”的强大社会正能量，为实现新疆工作总目标、推动我区由文化资源大区向文化发展大区转变,提供强大的价值引导力、文化凝聚力、精神推动力，推动我区文艺演出深入基层，深入农村乡镇。</w:t>
      </w:r>
    </w:p>
    <w:p>
      <w:pPr>
        <w:pStyle w:val="2"/>
        <w:numPr>
          <w:ilvl w:val="0"/>
          <w:numId w:val="0"/>
        </w:numPr>
        <w:ind w:leftChars="200"/>
        <w:jc w:val="both"/>
        <w:rPr>
          <w:rFonts w:hint="eastAsia"/>
          <w:lang w:eastAsia="zh-CN"/>
        </w:rPr>
      </w:pPr>
    </w:p>
    <w:p>
      <w:pPr>
        <w:spacing w:line="560" w:lineRule="exact"/>
        <w:ind w:firstLine="640" w:firstLineChars="200"/>
        <w:rPr>
          <w:rFonts w:eastAsia="黑体"/>
          <w:sz w:val="32"/>
          <w:szCs w:val="32"/>
        </w:rPr>
      </w:pPr>
      <w:r>
        <w:rPr>
          <w:rFonts w:eastAsia="黑体"/>
          <w:sz w:val="32"/>
          <w:szCs w:val="32"/>
        </w:rPr>
        <w:t>二、绩效评价工作开展情况</w:t>
      </w:r>
    </w:p>
    <w:p>
      <w:pPr>
        <w:spacing w:line="560" w:lineRule="exact"/>
        <w:ind w:firstLine="642" w:firstLineChars="200"/>
        <w:rPr>
          <w:rFonts w:eastAsia="楷体_GB2312"/>
          <w:b/>
          <w:bCs/>
          <w:sz w:val="32"/>
          <w:szCs w:val="32"/>
        </w:rPr>
      </w:pPr>
      <w:r>
        <w:rPr>
          <w:rFonts w:eastAsia="楷体_GB2312"/>
          <w:b/>
          <w:bCs/>
          <w:sz w:val="32"/>
          <w:szCs w:val="32"/>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1、绩效评价的目的</w:t>
      </w:r>
    </w:p>
    <w:p>
      <w:pPr>
        <w:spacing w:line="560" w:lineRule="exact"/>
        <w:ind w:firstLine="640" w:firstLineChars="200"/>
        <w:rPr>
          <w:rFonts w:eastAsia="仿宋_GB2312"/>
          <w:sz w:val="32"/>
          <w:szCs w:val="32"/>
        </w:rPr>
      </w:pPr>
      <w:r>
        <w:rPr>
          <w:rFonts w:eastAsia="仿宋_GB2312"/>
          <w:sz w:val="32"/>
          <w:szCs w:val="32"/>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numPr>
          <w:ilvl w:val="0"/>
          <w:numId w:val="2"/>
        </w:numPr>
        <w:spacing w:line="560" w:lineRule="exact"/>
        <w:ind w:firstLine="640" w:firstLineChars="200"/>
        <w:rPr>
          <w:rFonts w:eastAsia="仿宋_GB2312"/>
          <w:sz w:val="32"/>
          <w:szCs w:val="32"/>
        </w:rPr>
      </w:pPr>
      <w:r>
        <w:rPr>
          <w:rFonts w:eastAsia="仿宋_GB2312"/>
          <w:sz w:val="32"/>
          <w:szCs w:val="32"/>
        </w:rPr>
        <w:t>项目在实施前向项目负责人提供财政支出绩效方面的资金管理信息，促进项目支出严格按照资金管理规定进行。</w:t>
      </w:r>
    </w:p>
    <w:p>
      <w:pPr>
        <w:spacing w:line="560" w:lineRule="exact"/>
        <w:ind w:firstLine="640" w:firstLineChars="200"/>
        <w:rPr>
          <w:rFonts w:eastAsia="仿宋_GB2312"/>
          <w:sz w:val="32"/>
          <w:szCs w:val="32"/>
        </w:rPr>
      </w:pPr>
      <w:r>
        <w:rPr>
          <w:rFonts w:eastAsia="仿宋_GB2312"/>
          <w:sz w:val="32"/>
          <w:szCs w:val="32"/>
        </w:rPr>
        <w:t>（2）项目绩效管理财政支出运行提供及时、有效的信息。</w:t>
      </w:r>
    </w:p>
    <w:p>
      <w:pPr>
        <w:pStyle w:val="18"/>
        <w:spacing w:line="560" w:lineRule="exact"/>
        <w:ind w:firstLine="640" w:firstLineChars="200"/>
        <w:rPr>
          <w:rFonts w:eastAsia="方正仿宋_GBK" w:cs="方正仿宋_GBK"/>
          <w:sz w:val="32"/>
          <w:szCs w:val="32"/>
        </w:rPr>
      </w:pPr>
      <w:r>
        <w:rPr>
          <w:rFonts w:eastAsia="仿宋_GB2312"/>
          <w:sz w:val="32"/>
          <w:szCs w:val="32"/>
        </w:rPr>
        <w:t>综合来看，通过开展有效的财政支出绩效评价管理，</w:t>
      </w:r>
      <w:r>
        <w:rPr>
          <w:rFonts w:hint="eastAsia" w:eastAsia="仿宋_GB2312"/>
          <w:sz w:val="32"/>
          <w:szCs w:val="32"/>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2、绩效评价的对象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自治区本级政府购买演出</w:t>
      </w:r>
      <w:r>
        <w:rPr>
          <w:rFonts w:hint="eastAsia" w:ascii="仿宋_GB2312" w:hAnsi="仿宋_GB2312" w:eastAsia="仿宋_GB2312" w:cs="仿宋_GB2312"/>
          <w:sz w:val="32"/>
          <w:szCs w:val="32"/>
        </w:rPr>
        <w:t>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3、绩效评价的范围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本次评价从项目决策（包括绩效目标、决策过程）、项目管理（包括项目资金、项目实施）、项目产出（包括项目产出数量、产出质量、产出时效和产出成本）项目效益四个维度对</w:t>
      </w:r>
      <w:r>
        <w:rPr>
          <w:rFonts w:hint="eastAsia" w:ascii="仿宋_GB2312" w:hAnsi="仿宋_GB2312" w:eastAsia="仿宋_GB2312" w:cs="仿宋_GB2312"/>
          <w:sz w:val="32"/>
          <w:szCs w:val="32"/>
          <w:lang w:val="en-US" w:eastAsia="zh-CN"/>
        </w:rPr>
        <w:t>自治区本级政府购买演出</w:t>
      </w:r>
      <w:r>
        <w:rPr>
          <w:rFonts w:hint="eastAsia" w:ascii="仿宋_GB2312" w:hAnsi="仿宋_GB2312" w:eastAsia="仿宋_GB2312" w:cs="仿宋_GB2312"/>
          <w:sz w:val="32"/>
          <w:szCs w:val="32"/>
        </w:rPr>
        <w:t>项目进行评价，评价核心为专项资金的支出完成情况和效果。</w:t>
      </w:r>
    </w:p>
    <w:p>
      <w:pPr>
        <w:spacing w:line="560" w:lineRule="exact"/>
        <w:ind w:firstLine="642" w:firstLineChars="200"/>
      </w:pPr>
      <w:r>
        <w:rPr>
          <w:rFonts w:eastAsia="楷体_GB2312"/>
          <w:b/>
          <w:bCs/>
          <w:sz w:val="32"/>
          <w:szCs w:val="32"/>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1、绩效评价原则</w:t>
      </w:r>
    </w:p>
    <w:p>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2、评价指标体系</w:t>
      </w:r>
    </w:p>
    <w:p>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  评价核心为资金的支出完成情况和项目的产出效益。</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（1）比较法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（2）因素分析法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4、评价标准</w:t>
      </w:r>
    </w:p>
    <w:p>
      <w:pPr>
        <w:spacing w:line="560" w:lineRule="exact"/>
        <w:ind w:firstLine="640"/>
        <w:rPr>
          <w:rFonts w:hint="eastAsia" w:eastAsia="方正仿宋_GBK" w:cs="方正仿宋_GBK"/>
          <w:sz w:val="32"/>
          <w:szCs w:val="32"/>
        </w:rPr>
      </w:pPr>
      <w:r>
        <w:rPr>
          <w:rFonts w:hint="eastAsia" w:eastAsia="方正仿宋_GBK" w:cs="方正仿宋_GBK"/>
          <w:sz w:val="32"/>
          <w:szCs w:val="32"/>
        </w:rPr>
        <w:t>绩效评价标准通常包括计划标准、行业标准、历史标准等，用于对绩效指标完成情况进行比较、分析、评价。</w:t>
      </w:r>
      <w:r>
        <w:rPr>
          <w:rFonts w:hint="eastAsia" w:eastAsia="方正仿宋_GBK" w:cs="方正仿宋_GBK"/>
          <w:sz w:val="32"/>
          <w:szCs w:val="32"/>
          <w:highlight w:val="none"/>
        </w:rPr>
        <w:t>本次</w:t>
      </w:r>
      <w:r>
        <w:rPr>
          <w:rFonts w:hint="eastAsia" w:eastAsia="方正仿宋_GBK" w:cs="方正仿宋_GBK"/>
          <w:sz w:val="32"/>
          <w:szCs w:val="32"/>
        </w:rPr>
        <w:t>评价主要采用了</w:t>
      </w:r>
      <w:r>
        <w:rPr>
          <w:rFonts w:hint="eastAsia" w:eastAsia="方正仿宋_GBK" w:cs="方正仿宋_GBK"/>
          <w:sz w:val="32"/>
          <w:szCs w:val="32"/>
          <w:lang w:val="en-US" w:eastAsia="zh-CN"/>
        </w:rPr>
        <w:t>计划</w:t>
      </w:r>
      <w:r>
        <w:rPr>
          <w:rFonts w:hint="eastAsia" w:eastAsia="方正仿宋_GBK" w:cs="方正仿宋_GBK"/>
          <w:sz w:val="32"/>
          <w:szCs w:val="32"/>
        </w:rPr>
        <w:t>标准。</w:t>
      </w:r>
    </w:p>
    <w:p>
      <w:pPr>
        <w:spacing w:line="560" w:lineRule="exact"/>
        <w:ind w:firstLine="640"/>
        <w:rPr>
          <w:rFonts w:eastAsia="方正仿宋_GBK" w:cs="方正仿宋_GBK"/>
          <w:sz w:val="32"/>
          <w:szCs w:val="32"/>
        </w:rPr>
      </w:pPr>
      <w:bookmarkStart w:id="0" w:name="_Toc31464"/>
      <w:bookmarkStart w:id="1" w:name="_Toc17882"/>
      <w:r>
        <w:rPr>
          <w:rFonts w:hint="eastAsia" w:eastAsia="方正仿宋_GBK" w:cs="方正仿宋_GBK"/>
          <w:b/>
          <w:bCs/>
          <w:sz w:val="32"/>
          <w:szCs w:val="32"/>
        </w:rPr>
        <w:t>计划标准：</w:t>
      </w:r>
      <w:r>
        <w:rPr>
          <w:rFonts w:hint="eastAsia" w:eastAsia="方正仿宋_GBK" w:cs="方正仿宋_GBK"/>
          <w:sz w:val="32"/>
          <w:szCs w:val="32"/>
        </w:rPr>
        <w:t>指以预先制定的目标、计划、预算、定额等作为评价标准。</w:t>
      </w:r>
      <w:bookmarkEnd w:id="0"/>
      <w:bookmarkEnd w:id="1"/>
    </w:p>
    <w:p>
      <w:pPr>
        <w:spacing w:line="560" w:lineRule="exact"/>
        <w:ind w:firstLine="640"/>
        <w:rPr>
          <w:rFonts w:eastAsia="方正仿宋_GBK" w:cs="方正仿宋_GBK"/>
          <w:sz w:val="32"/>
          <w:szCs w:val="32"/>
        </w:rPr>
      </w:pPr>
      <w:bookmarkStart w:id="2" w:name="_Toc2318"/>
      <w:bookmarkStart w:id="3" w:name="_Toc5633"/>
      <w:r>
        <w:rPr>
          <w:rFonts w:hint="eastAsia" w:eastAsia="方正仿宋_GBK" w:cs="方正仿宋_GBK"/>
          <w:b/>
          <w:bCs/>
          <w:sz w:val="32"/>
          <w:szCs w:val="32"/>
        </w:rPr>
        <w:t>行业标准：</w:t>
      </w:r>
      <w:r>
        <w:rPr>
          <w:rFonts w:hint="eastAsia" w:eastAsia="方正仿宋_GBK" w:cs="方正仿宋_GBK"/>
          <w:sz w:val="32"/>
          <w:szCs w:val="32"/>
        </w:rPr>
        <w:t>指参照国家公布的行业指标数据制定的评价标准。</w:t>
      </w:r>
      <w:bookmarkEnd w:id="2"/>
      <w:bookmarkEnd w:id="3"/>
    </w:p>
    <w:p>
      <w:pPr>
        <w:spacing w:line="560" w:lineRule="exact"/>
        <w:ind w:firstLine="640"/>
        <w:rPr>
          <w:rFonts w:eastAsia="方正仿宋_GBK" w:cs="方正仿宋_GBK"/>
          <w:sz w:val="32"/>
          <w:szCs w:val="32"/>
        </w:rPr>
      </w:pPr>
      <w:bookmarkStart w:id="4" w:name="_Toc430"/>
      <w:bookmarkStart w:id="5" w:name="_Toc16028"/>
      <w:r>
        <w:rPr>
          <w:rFonts w:hint="eastAsia" w:eastAsia="方正仿宋_GBK" w:cs="方正仿宋_GBK"/>
          <w:b/>
          <w:bCs/>
          <w:sz w:val="32"/>
          <w:szCs w:val="32"/>
        </w:rPr>
        <w:t>历史标准：</w:t>
      </w:r>
      <w:r>
        <w:rPr>
          <w:rFonts w:hint="eastAsia" w:eastAsia="方正仿宋_GBK" w:cs="方正仿宋_GBK"/>
          <w:sz w:val="32"/>
          <w:szCs w:val="32"/>
        </w:rPr>
        <w:t>指参照历史数据制定的评价标准，为体现绩效改进的原则，在可实现的条件下应当确定相对较高的评价标准。</w:t>
      </w:r>
      <w:bookmarkEnd w:id="4"/>
      <w:bookmarkEnd w:id="5"/>
    </w:p>
    <w:p>
      <w:pPr>
        <w:pStyle w:val="2"/>
        <w:numPr>
          <w:ilvl w:val="0"/>
          <w:numId w:val="3"/>
        </w:numPr>
        <w:spacing w:before="0" w:after="0" w:line="560" w:lineRule="exact"/>
        <w:ind w:firstLine="710" w:firstLineChars="200"/>
        <w:jc w:val="both"/>
        <w:rPr>
          <w:rFonts w:ascii="楷体" w:hAnsi="楷体" w:eastAsia="楷体" w:cs="楷体"/>
          <w:color w:val="000000"/>
          <w:spacing w:val="17"/>
        </w:rPr>
      </w:pPr>
      <w:r>
        <w:rPr>
          <w:rFonts w:hint="eastAsia" w:ascii="楷体" w:hAnsi="楷体" w:eastAsia="楷体" w:cs="楷体"/>
          <w:color w:val="000000"/>
          <w:spacing w:val="17"/>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1.</w:t>
      </w:r>
      <w:r>
        <w:rPr>
          <w:rFonts w:hint="eastAsia" w:eastAsia="仿宋_GB2312"/>
          <w:bCs/>
          <w:sz w:val="32"/>
          <w:szCs w:val="32"/>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2.</w:t>
      </w:r>
      <w:r>
        <w:rPr>
          <w:rFonts w:hint="eastAsia" w:eastAsia="仿宋_GB2312"/>
          <w:bCs/>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rPr>
      </w:pPr>
      <w:r>
        <w:rPr>
          <w:rFonts w:hint="eastAsia" w:eastAsia="仿宋_GB2312"/>
          <w:bCs/>
          <w:sz w:val="32"/>
          <w:szCs w:val="32"/>
          <w:lang w:val="en-US" w:eastAsia="zh-CN"/>
        </w:rPr>
        <w:t>3.</w:t>
      </w:r>
      <w:r>
        <w:rPr>
          <w:rFonts w:hint="eastAsia" w:eastAsia="仿宋_GB2312"/>
          <w:bCs/>
          <w:sz w:val="32"/>
          <w:szCs w:val="32"/>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4"/>
        </w:numPr>
        <w:spacing w:line="560" w:lineRule="exact"/>
        <w:ind w:firstLine="640" w:firstLineChars="200"/>
        <w:rPr>
          <w:rFonts w:eastAsia="黑体"/>
          <w:sz w:val="32"/>
          <w:szCs w:val="32"/>
        </w:rPr>
      </w:pPr>
      <w:r>
        <w:rPr>
          <w:rFonts w:eastAsia="黑体"/>
          <w:sz w:val="32"/>
          <w:szCs w:val="32"/>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lang w:val="en-US" w:eastAsia="zh-CN"/>
        </w:rPr>
      </w:pPr>
      <w:r>
        <w:rPr>
          <w:rFonts w:hint="eastAsia" w:ascii="Times New Roman" w:hAnsi="Times New Roman" w:eastAsia="楷体_GB2312"/>
          <w:lang w:eastAsia="zh-CN"/>
        </w:rPr>
        <w:t>（</w:t>
      </w:r>
      <w:r>
        <w:rPr>
          <w:rFonts w:hint="eastAsia" w:ascii="Times New Roman" w:hAnsi="Times New Roman" w:eastAsia="楷体_GB2312"/>
          <w:lang w:val="en-US" w:eastAsia="zh-CN"/>
        </w:rPr>
        <w:t>一</w:t>
      </w:r>
      <w:r>
        <w:rPr>
          <w:rFonts w:hint="eastAsia" w:ascii="Times New Roman" w:hAnsi="Times New Roman" w:eastAsia="楷体_GB2312"/>
          <w:lang w:eastAsia="zh-CN"/>
        </w:rPr>
        <w:t>）</w:t>
      </w:r>
      <w:r>
        <w:rPr>
          <w:rFonts w:hint="eastAsia" w:ascii="Times New Roman" w:hAnsi="Times New Roman" w:eastAsia="楷体_GB2312"/>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lang w:val="en-US" w:eastAsia="zh-CN" w:bidi="ar-SA"/>
        </w:rPr>
      </w:pPr>
      <w:r>
        <w:rPr>
          <w:rFonts w:hint="eastAsia" w:ascii="Times New Roman" w:hAnsi="Times New Roman" w:eastAsia="仿宋_GB2312" w:cs="Times New Roman"/>
          <w:b w:val="0"/>
          <w:bCs w:val="0"/>
          <w:kern w:val="28"/>
          <w:sz w:val="32"/>
          <w:szCs w:val="32"/>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cs="Times New Roman"/>
          <w:lang w:val="en-US" w:eastAsia="zh-CN"/>
        </w:rPr>
      </w:pP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二</w:t>
      </w: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评价结论</w:t>
      </w:r>
    </w:p>
    <w:p>
      <w:pPr>
        <w:pStyle w:val="2"/>
        <w:widowControl w:val="0"/>
        <w:spacing w:before="0" w:after="0" w:line="560" w:lineRule="exact"/>
        <w:ind w:firstLine="640" w:firstLineChars="200"/>
        <w:jc w:val="both"/>
        <w:outlineLvl w:val="9"/>
        <w:rPr>
          <w:rFonts w:hint="eastAsia" w:ascii="Times New Roman" w:hAnsi="Times New Roman" w:eastAsia="仿宋_GB2312"/>
          <w:b w:val="0"/>
          <w:bCs w:val="0"/>
          <w:lang w:eastAsia="zh-CN"/>
        </w:rPr>
      </w:pPr>
      <w:r>
        <w:rPr>
          <w:rFonts w:hint="eastAsia"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w:t>
      </w:r>
      <w:r>
        <w:rPr>
          <w:rFonts w:hint="eastAsia" w:ascii="Times New Roman" w:hAnsi="Times New Roman" w:eastAsia="仿宋_GB2312"/>
          <w:b w:val="0"/>
          <w:bCs w:val="0"/>
          <w:highlight w:val="none"/>
        </w:rPr>
        <w:t>，最终评分结果：总得分为</w:t>
      </w:r>
      <w:r>
        <w:rPr>
          <w:rFonts w:hint="eastAsia" w:ascii="Times New Roman" w:hAnsi="Times New Roman" w:eastAsia="仿宋_GB2312"/>
          <w:b w:val="0"/>
          <w:bCs w:val="0"/>
          <w:highlight w:val="none"/>
          <w:lang w:val="en-US" w:eastAsia="zh-CN"/>
        </w:rPr>
        <w:t>99.11</w:t>
      </w:r>
      <w:r>
        <w:rPr>
          <w:rFonts w:hint="eastAsia" w:ascii="Times New Roman" w:hAnsi="Times New Roman" w:eastAsia="仿宋_GB2312"/>
          <w:b w:val="0"/>
          <w:bCs w:val="0"/>
          <w:highlight w:val="none"/>
        </w:rPr>
        <w:t>分，属于“优”。其中，项目决策类指标权重为20分，得分为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 xml:space="preserve">分，得分率为 </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%。项目过程类指标权重为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90</w:t>
      </w:r>
      <w:r>
        <w:rPr>
          <w:rFonts w:hint="eastAsia" w:ascii="Times New Roman" w:hAnsi="Times New Roman" w:eastAsia="仿宋_GB2312"/>
          <w:b w:val="0"/>
          <w:bCs w:val="0"/>
          <w:highlight w:val="none"/>
        </w:rPr>
        <w:t>%。项目产出类指标权重为40分，得分为</w:t>
      </w:r>
      <w:r>
        <w:rPr>
          <w:rFonts w:hint="eastAsia" w:ascii="Times New Roman" w:hAnsi="Times New Roman" w:eastAsia="仿宋_GB2312"/>
          <w:b w:val="0"/>
          <w:bCs w:val="0"/>
          <w:highlight w:val="none"/>
          <w:lang w:val="en-US" w:eastAsia="zh-CN"/>
        </w:rPr>
        <w:t>39.11</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97.78</w:t>
      </w:r>
      <w:r>
        <w:rPr>
          <w:rFonts w:hint="eastAsia" w:ascii="Times New Roman" w:hAnsi="Times New Roman" w:eastAsia="仿宋_GB2312"/>
          <w:b w:val="0"/>
          <w:bCs w:val="0"/>
          <w:highlight w:val="none"/>
        </w:rPr>
        <w:t>%。项目效益类指标权重为20分，得分为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%。具体</w:t>
      </w:r>
      <w:r>
        <w:rPr>
          <w:rFonts w:hint="eastAsia" w:ascii="Times New Roman" w:hAnsi="Times New Roman" w:eastAsia="仿宋_GB2312"/>
          <w:b w:val="0"/>
          <w:bCs w:val="0"/>
        </w:rPr>
        <w:t>打分情况详见：附件1综合评分表</w:t>
      </w:r>
      <w:r>
        <w:rPr>
          <w:rFonts w:hint="eastAsia" w:ascii="Times New Roman" w:hAnsi="Times New Roman" w:eastAsia="仿宋_GB2312"/>
          <w:b w:val="0"/>
          <w:bCs w:val="0"/>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rPr>
      </w:pPr>
      <w:r>
        <w:rPr>
          <w:rFonts w:ascii="Times New Roman" w:hAnsi="Times New Roman" w:eastAsia="仿宋_GB2312"/>
          <w:sz w:val="30"/>
          <w:szCs w:val="30"/>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39.11</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rPr>
            </w:pPr>
            <w:r>
              <w:rPr>
                <w:rFonts w:hint="eastAsia" w:cs="宋体"/>
                <w:b/>
                <w:bCs/>
                <w:color w:val="000000"/>
                <w:sz w:val="22"/>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99.11</w:t>
            </w:r>
          </w:p>
        </w:tc>
      </w:tr>
    </w:tbl>
    <w:p>
      <w:pPr>
        <w:spacing w:line="560" w:lineRule="exact"/>
        <w:ind w:firstLine="640" w:firstLineChars="200"/>
        <w:rPr>
          <w:rFonts w:eastAsia="黑体"/>
          <w:sz w:val="32"/>
          <w:szCs w:val="32"/>
        </w:rPr>
      </w:pPr>
      <w:r>
        <w:rPr>
          <w:rFonts w:eastAsia="黑体"/>
          <w:sz w:val="32"/>
          <w:szCs w:val="32"/>
        </w:rPr>
        <w:t>四、绩效评价指标分析</w:t>
      </w:r>
    </w:p>
    <w:p>
      <w:pPr>
        <w:pStyle w:val="2"/>
        <w:spacing w:before="0" w:after="0" w:line="560" w:lineRule="exact"/>
        <w:ind w:firstLine="642" w:firstLineChars="200"/>
        <w:jc w:val="both"/>
        <w:rPr>
          <w:rFonts w:ascii="Times New Roman" w:hAnsi="Times New Roman" w:eastAsia="楷体_GB2312"/>
        </w:rPr>
      </w:pPr>
      <w:r>
        <w:rPr>
          <w:rFonts w:ascii="Times New Roman" w:hAnsi="Times New Roman" w:eastAsia="楷体_GB2312"/>
        </w:rPr>
        <w:t>（一）项目决策情况</w:t>
      </w:r>
    </w:p>
    <w:p>
      <w:pPr>
        <w:shd w:val="clear"/>
        <w:spacing w:line="600" w:lineRule="exact"/>
        <w:ind w:firstLine="600" w:firstLineChars="200"/>
        <w:outlineLvl w:val="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（2）立项程序规范性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项目申请、设立过程符合相关要求，</w:t>
      </w:r>
      <w:r>
        <w:rPr>
          <w:rFonts w:hint="eastAsia" w:ascii="仿宋_GB2312" w:hAnsi="仿宋_GB2312" w:eastAsia="仿宋_GB2312" w:cs="仿宋_GB2312"/>
          <w:sz w:val="32"/>
          <w:szCs w:val="32"/>
          <w:lang w:eastAsia="zh-Hans"/>
        </w:rPr>
        <w:t>严格按照审批流程准备符合要求的文件、材料；</w:t>
      </w:r>
      <w:r>
        <w:rPr>
          <w:rFonts w:hint="eastAsia" w:ascii="仿宋_GB2312" w:hAnsi="仿宋_GB2312" w:eastAsia="仿宋_GB2312" w:cs="仿宋_GB2312"/>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年初结合实际工作内容</w:t>
      </w:r>
      <w:r>
        <w:rPr>
          <w:rFonts w:hint="eastAsia" w:ascii="仿宋_GB2312" w:hAnsi="仿宋_GB2312" w:eastAsia="仿宋_GB2312" w:cs="仿宋_GB2312"/>
          <w:sz w:val="32"/>
          <w:szCs w:val="32"/>
          <w:lang w:val="en-US" w:eastAsia="zh-CN"/>
        </w:rPr>
        <w:t>设定绩效目标</w:t>
      </w:r>
      <w:r>
        <w:rPr>
          <w:rFonts w:hint="eastAsia" w:ascii="仿宋_GB2312" w:hAnsi="仿宋_GB2312" w:eastAsia="仿宋_GB2312" w:cs="仿宋_GB2312"/>
          <w:sz w:val="32"/>
          <w:szCs w:val="32"/>
          <w:lang w:val="en-US" w:eastAsia="zh-Hans"/>
        </w:rPr>
        <w:t>，绩效目标</w:t>
      </w:r>
      <w:r>
        <w:rPr>
          <w:rFonts w:hint="eastAsia" w:ascii="仿宋_GB2312" w:hAnsi="仿宋_GB2312" w:eastAsia="仿宋_GB2312" w:cs="仿宋_GB2312"/>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（1）预算编制科学性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预算编制经过科学论证，提供充分的测算依据佐证资料，预算内容与项目内容相匹配。项目投资额与工作任务相匹配。</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资金分配额度与项目单位实际工作内容相适应，资金分配额度合理，资金分配依据充分。</w:t>
      </w:r>
    </w:p>
    <w:p>
      <w:pPr>
        <w:pStyle w:val="2"/>
        <w:numPr>
          <w:ilvl w:val="0"/>
          <w:numId w:val="5"/>
        </w:numPr>
        <w:spacing w:before="0" w:after="0" w:line="560" w:lineRule="exact"/>
        <w:ind w:firstLine="642" w:firstLineChars="200"/>
        <w:jc w:val="both"/>
        <w:rPr>
          <w:rFonts w:ascii="楷体" w:hAnsi="楷体" w:eastAsia="楷体" w:cs="楷体"/>
        </w:rPr>
      </w:pPr>
      <w:r>
        <w:rPr>
          <w:rFonts w:hint="eastAsia" w:ascii="楷体" w:hAnsi="楷体" w:eastAsia="楷体" w:cs="楷体"/>
        </w:rPr>
        <w:t>项目过程情况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项目过程类指标包括资金管理和组织实施两方面的内容，</w:t>
      </w:r>
      <w:r>
        <w:rPr>
          <w:rFonts w:hint="eastAsia" w:ascii="仿宋_GB2312" w:hAnsi="仿宋_GB2312" w:eastAsia="仿宋_GB2312" w:cs="仿宋_GB2312"/>
          <w:sz w:val="32"/>
          <w:szCs w:val="32"/>
          <w:highlight w:val="none"/>
          <w:lang w:val="en-US" w:eastAsia="zh-CN"/>
        </w:rPr>
        <w:t>由5个三级指标构成，权重分值为20分，实际得分18分，得分率为90%。</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本项目总投资250万元，财政资金及时足额到位，到位率100%，预算资金按计划进度执行。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预算编制较为详细，项目资金支出总体能够按照预算执行，预算资金支出248万元，预算执行率为99.2%。</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（2）制度执行有效性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对资金使用的合法合规性进行监督，年末对资金使用效果进行评价。项目管理、实施人员落实到位，有效按照计划执行。项目执行情况等资料齐全，项目相关手续完备，及时进行归档。</w:t>
      </w:r>
    </w:p>
    <w:p>
      <w:pPr>
        <w:pStyle w:val="11"/>
        <w:numPr>
          <w:ilvl w:val="0"/>
          <w:numId w:val="5"/>
        </w:numPr>
        <w:spacing w:line="560" w:lineRule="exact"/>
        <w:ind w:firstLine="643"/>
        <w:rPr>
          <w:rFonts w:eastAsia="楷体_GB2312"/>
          <w:b/>
          <w:bCs/>
          <w:sz w:val="32"/>
          <w:szCs w:val="32"/>
        </w:rPr>
      </w:pPr>
      <w:r>
        <w:rPr>
          <w:rFonts w:eastAsia="楷体_GB2312"/>
          <w:b/>
          <w:bCs/>
          <w:sz w:val="32"/>
          <w:szCs w:val="32"/>
        </w:rPr>
        <w:t>项目产出</w:t>
      </w:r>
      <w:r>
        <w:rPr>
          <w:rFonts w:hint="eastAsia" w:eastAsia="楷体_GB2312"/>
          <w:b/>
          <w:bCs/>
          <w:sz w:val="32"/>
          <w:szCs w:val="32"/>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项目产出类指标包括产出数量、产出质量、产出时效、产</w:t>
      </w:r>
      <w:r>
        <w:rPr>
          <w:rFonts w:hint="eastAsia" w:ascii="仿宋_GB2312" w:hAnsi="仿宋_GB2312" w:eastAsia="仿宋_GB2312" w:cs="仿宋_GB2312"/>
          <w:sz w:val="32"/>
          <w:szCs w:val="32"/>
          <w:highlight w:val="none"/>
          <w:lang w:val="en-US" w:eastAsia="zh-CN"/>
        </w:rPr>
        <w:t>出成本四方面的内容，由10个三级指标构成，权重分为40分，实际得分39.11分，得分率为97.78%。</w:t>
      </w:r>
      <w:r>
        <w:rPr>
          <w:rFonts w:hint="eastAsia" w:ascii="仿宋_GB2312" w:hAnsi="仿宋_GB2312" w:eastAsia="仿宋_GB2312" w:cs="仿宋_GB2312"/>
          <w:sz w:val="32"/>
          <w:szCs w:val="32"/>
          <w:lang w:val="en-US" w:eastAsia="zh-CN"/>
        </w:rPr>
        <w:t>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pPr>
      <w:r>
        <w:rPr>
          <w:rFonts w:hint="eastAsia" w:ascii="仿宋_GB2312" w:hAnsi="仿宋_GB2312" w:eastAsia="仿宋_GB2312" w:cs="仿宋_GB2312"/>
          <w:sz w:val="32"/>
          <w:szCs w:val="32"/>
          <w:highlight w:val="none"/>
        </w:rPr>
        <w:t xml:space="preserve">指标1：小型演出场次 ，指标值120场，实际完成值：229场 ，指标完成率 </w:t>
      </w:r>
      <w:r>
        <w:rPr>
          <w:rFonts w:hint="eastAsia" w:ascii="仿宋_GB2312" w:hAnsi="仿宋_GB2312" w:eastAsia="仿宋_GB2312" w:cs="仿宋_GB2312"/>
          <w:sz w:val="32"/>
          <w:szCs w:val="32"/>
          <w:highlight w:val="none"/>
          <w:lang w:val="en-US" w:eastAsia="zh-CN"/>
        </w:rPr>
        <w:t>190.83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，偏差原因：</w:t>
      </w:r>
      <w:r>
        <w:rPr>
          <w:rFonts w:hint="eastAsia" w:ascii="仿宋_GB2312" w:hAnsi="仿宋_GB2312" w:eastAsia="仿宋_GB2312" w:cs="仿宋_GB2312"/>
          <w:sz w:val="32"/>
          <w:szCs w:val="32"/>
          <w:highlight w:val="none"/>
          <w:lang w:val="en-US" w:eastAsia="zh-CN"/>
        </w:rPr>
        <w:t>节目受欢迎，惠民演出场次增加</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指标2：</w:t>
      </w:r>
      <w:r>
        <w:rPr>
          <w:rFonts w:hint="eastAsia" w:ascii="仿宋_GB2312" w:hAnsi="仿宋_GB2312" w:eastAsia="仿宋_GB2312" w:cs="仿宋_GB2312"/>
          <w:sz w:val="32"/>
          <w:szCs w:val="32"/>
          <w:highlight w:val="none"/>
          <w:lang w:val="en-US" w:eastAsia="zh-CN"/>
        </w:rPr>
        <w:t>设备购置数量</w:t>
      </w:r>
      <w:r>
        <w:rPr>
          <w:rFonts w:hint="eastAsia" w:ascii="仿宋_GB2312" w:hAnsi="仿宋_GB2312" w:eastAsia="仿宋_GB2312" w:cs="仿宋_GB2312"/>
          <w:sz w:val="32"/>
          <w:szCs w:val="32"/>
          <w:highlight w:val="none"/>
        </w:rPr>
        <w:t xml:space="preserve"> ，指标值：4台 ，实际完成值： 1台 ，指标完成率 </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。偏差原因：资金用于弥补人员经费。</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弥补人员数量</w:t>
      </w:r>
      <w:r>
        <w:rPr>
          <w:rFonts w:hint="eastAsia" w:ascii="仿宋_GB2312" w:hAnsi="仿宋_GB2312" w:eastAsia="仿宋_GB2312" w:cs="仿宋_GB2312"/>
          <w:sz w:val="32"/>
          <w:szCs w:val="32"/>
          <w:highlight w:val="none"/>
        </w:rPr>
        <w:t xml:space="preserve"> ，指标值：137人，实际完成值： 137人 ，指标完成率 </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shd w:val="clear"/>
        <w:spacing w:line="600" w:lineRule="exact"/>
        <w:outlineLvl w:val="0"/>
        <w:rPr>
          <w:rFonts w:hint="default" w:ascii="仿宋_GB2312" w:hAnsi="仿宋_GB2312" w:eastAsia="仿宋_GB2312" w:cs="仿宋_GB2312"/>
          <w:sz w:val="32"/>
          <w:szCs w:val="32"/>
          <w:highlight w:val="none"/>
          <w:lang w:val="en-US" w:eastAsia="zh-CN"/>
        </w:rPr>
      </w:pP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指标1：政府采购率 ，指标值：≥95% ，实际完成值：95%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：设备验收合格率 ，指标值：≥95% ，实际完成值：95%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：设备质量合格率 ，指标值：≥95% ，实际完成值：95%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指标1：人员经费发放及时率，指标值：≥95% ，实际完成值：95%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420" w:firstLineChars="200"/>
        <w:outlineLvl w:val="0"/>
        <w:rPr>
          <w:rFonts w:hint="default"/>
          <w:lang w:val="en-US" w:eastAsia="zh-CN"/>
        </w:rPr>
      </w:pPr>
      <w:r>
        <w:rPr>
          <w:rFonts w:hint="eastAsia"/>
          <w:lang w:val="en-US" w:eastAsia="zh-CN"/>
        </w:rPr>
        <w:t xml:space="preserve">    </w:t>
      </w: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：演出活动按时完成率 ，指标值：≥</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，实际完成值：</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4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指标1：弥补人员经费，指标值：237.6万元 ，实际完成值：237.6万元，指标完成率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：弥补日常公用经费，指标值：12.4万元 ，实际完成值：10.4万元，指标完成率</w:t>
      </w:r>
      <w:r>
        <w:rPr>
          <w:rFonts w:hint="eastAsia" w:ascii="仿宋_GB2312" w:hAnsi="仿宋_GB2312" w:eastAsia="仿宋_GB2312" w:cs="仿宋_GB2312"/>
          <w:sz w:val="32"/>
          <w:szCs w:val="32"/>
          <w:highlight w:val="none"/>
          <w:lang w:val="en-US" w:eastAsia="zh-CN"/>
        </w:rPr>
        <w:t>83.87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偏差原因是：由于政府采购流程未完成，导致支付时间截止。</w:t>
      </w:r>
    </w:p>
    <w:p>
      <w:pPr>
        <w:pStyle w:val="11"/>
        <w:numPr>
          <w:ilvl w:val="0"/>
          <w:numId w:val="5"/>
        </w:numPr>
        <w:spacing w:line="560" w:lineRule="exact"/>
        <w:ind w:firstLine="643"/>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项目效益类指标包括项目实施效益和满意度两方面的内</w:t>
      </w:r>
      <w:r>
        <w:rPr>
          <w:rFonts w:hint="eastAsia" w:ascii="仿宋_GB2312" w:hAnsi="仿宋_GB2312" w:eastAsia="仿宋_GB2312" w:cs="仿宋_GB2312"/>
          <w:sz w:val="32"/>
          <w:szCs w:val="32"/>
          <w:highlight w:val="none"/>
          <w:lang w:val="en-US" w:eastAsia="zh-CN"/>
        </w:rPr>
        <w:t>容，由3个三级指标构成，权重分为20分，实际得分20分，得分率为100%。</w:t>
      </w:r>
      <w:r>
        <w:rPr>
          <w:rFonts w:hint="eastAsia" w:ascii="仿宋_GB2312" w:hAnsi="仿宋_GB2312" w:eastAsia="仿宋_GB2312" w:cs="仿宋_GB2312"/>
          <w:sz w:val="32"/>
          <w:szCs w:val="32"/>
          <w:lang w:val="en-US" w:eastAsia="zh-CN"/>
        </w:rPr>
        <w:t>具体效益指标及满意度指标完成情况如下：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经济效益指标：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：设备利用率，指标值：≥95% ，实际完成值：95%，指标完成率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rPr>
        <w:t>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：提高各群众精神文化生活水平，指标值：显著提升 ，实际完成值：100%，指标完成率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满意度指标：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：群众满意度，指标值：≥90% ，实际完成值：</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eastAsia="zh-CN"/>
        </w:rPr>
        <w:t>。</w:t>
      </w:r>
    </w:p>
    <w:p>
      <w:pPr>
        <w:pStyle w:val="2"/>
        <w:rPr>
          <w:rFonts w:hint="default"/>
          <w:lang w:val="en-US" w:eastAsia="zh-CN"/>
        </w:rPr>
      </w:pPr>
    </w:p>
    <w:p>
      <w:pPr>
        <w:spacing w:line="560" w:lineRule="exact"/>
        <w:ind w:firstLine="640" w:firstLineChars="200"/>
        <w:rPr>
          <w:rFonts w:hint="eastAsia" w:ascii="Times New Roman" w:hAnsi="Times New Roman" w:eastAsia="黑体" w:cs="Times New Roman"/>
          <w:sz w:val="32"/>
          <w:szCs w:val="32"/>
          <w:lang w:eastAsia="zh-Hans"/>
        </w:rPr>
      </w:pPr>
      <w:r>
        <w:rPr>
          <w:rFonts w:hint="eastAsia" w:ascii="Times New Roman" w:hAnsi="Times New Roman" w:eastAsia="黑体" w:cs="Times New Roman"/>
          <w:sz w:val="32"/>
          <w:szCs w:val="32"/>
          <w:lang w:eastAsia="zh-Hans"/>
        </w:rPr>
        <w:t>五、预算执行进度与绩效指标总体完成率偏差</w:t>
      </w:r>
    </w:p>
    <w:p>
      <w:pPr>
        <w:pStyle w:val="18"/>
        <w:spacing w:line="560" w:lineRule="exact"/>
        <w:ind w:firstLine="640"/>
        <w:rPr>
          <w:rFonts w:hint="eastAsia" w:eastAsia="宋体" w:cs="方正仿宋_GBK"/>
          <w:sz w:val="32"/>
          <w:szCs w:val="32"/>
          <w:highlight w:val="none"/>
          <w:lang w:val="en-US" w:eastAsia="zh-CN"/>
        </w:rPr>
      </w:pPr>
      <w:r>
        <w:rPr>
          <w:rFonts w:hint="eastAsia" w:eastAsia="方正仿宋_GBK" w:cs="方正仿宋_GBK"/>
          <w:sz w:val="32"/>
          <w:szCs w:val="32"/>
          <w:highlight w:val="none"/>
          <w:lang w:val="en-US" w:eastAsia="zh-CN"/>
        </w:rPr>
        <w:t>自治区本级政府购买演出</w:t>
      </w:r>
      <w:r>
        <w:rPr>
          <w:rFonts w:hint="eastAsia" w:eastAsia="方正仿宋_GBK" w:cs="方正仿宋_GBK"/>
          <w:sz w:val="32"/>
          <w:szCs w:val="32"/>
          <w:highlight w:val="none"/>
        </w:rPr>
        <w:t>项目年初预算</w:t>
      </w:r>
      <w:r>
        <w:rPr>
          <w:rFonts w:hint="eastAsia" w:eastAsia="方正仿宋_GBK" w:cs="方正仿宋_GBK"/>
          <w:sz w:val="32"/>
          <w:szCs w:val="32"/>
          <w:highlight w:val="none"/>
          <w:lang w:val="en-US" w:eastAsia="zh-CN"/>
        </w:rPr>
        <w:t>250</w:t>
      </w:r>
      <w:r>
        <w:rPr>
          <w:rFonts w:hint="eastAsia" w:eastAsia="方正仿宋_GBK" w:cs="方正仿宋_GBK"/>
          <w:sz w:val="32"/>
          <w:szCs w:val="32"/>
          <w:highlight w:val="none"/>
        </w:rPr>
        <w:t>万元，全年预算</w:t>
      </w:r>
      <w:r>
        <w:rPr>
          <w:rFonts w:hint="eastAsia" w:eastAsia="方正仿宋_GBK" w:cs="方正仿宋_GBK"/>
          <w:sz w:val="32"/>
          <w:szCs w:val="32"/>
          <w:highlight w:val="none"/>
          <w:lang w:val="en-US" w:eastAsia="zh-CN"/>
        </w:rPr>
        <w:t>250</w:t>
      </w:r>
      <w:r>
        <w:rPr>
          <w:rFonts w:hint="eastAsia" w:eastAsia="方正仿宋_GBK" w:cs="方正仿宋_GBK"/>
          <w:sz w:val="32"/>
          <w:szCs w:val="32"/>
          <w:highlight w:val="none"/>
        </w:rPr>
        <w:t>万元，实际支出</w:t>
      </w:r>
      <w:r>
        <w:rPr>
          <w:rFonts w:hint="eastAsia" w:eastAsia="方正仿宋_GBK" w:cs="方正仿宋_GBK"/>
          <w:sz w:val="32"/>
          <w:szCs w:val="32"/>
          <w:highlight w:val="none"/>
          <w:lang w:val="en-US" w:eastAsia="zh-CN"/>
        </w:rPr>
        <w:t>248</w:t>
      </w:r>
      <w:r>
        <w:rPr>
          <w:rFonts w:hint="eastAsia" w:eastAsia="方正仿宋_GBK" w:cs="方正仿宋_GBK"/>
          <w:sz w:val="32"/>
          <w:szCs w:val="32"/>
          <w:highlight w:val="none"/>
        </w:rPr>
        <w:t>万元，预算执行率为</w:t>
      </w:r>
      <w:r>
        <w:rPr>
          <w:rFonts w:hint="eastAsia" w:eastAsia="方正仿宋_GBK" w:cs="方正仿宋_GBK"/>
          <w:sz w:val="32"/>
          <w:szCs w:val="32"/>
          <w:highlight w:val="none"/>
          <w:lang w:val="en-US" w:eastAsia="zh-CN"/>
        </w:rPr>
        <w:t>99.2</w:t>
      </w:r>
      <w:r>
        <w:rPr>
          <w:rFonts w:hint="eastAsia" w:eastAsia="方正仿宋_GBK" w:cs="方正仿宋_GBK"/>
          <w:sz w:val="32"/>
          <w:szCs w:val="32"/>
          <w:highlight w:val="none"/>
        </w:rPr>
        <w:t>%，项目绩效指标总体完成率为</w:t>
      </w:r>
      <w:r>
        <w:rPr>
          <w:rFonts w:hint="eastAsia" w:eastAsia="方正仿宋_GBK" w:cs="方正仿宋_GBK"/>
          <w:sz w:val="32"/>
          <w:szCs w:val="32"/>
          <w:highlight w:val="none"/>
          <w:lang w:val="en-US" w:eastAsia="zh-CN"/>
        </w:rPr>
        <w:t>99.98</w:t>
      </w:r>
      <w:r>
        <w:rPr>
          <w:rFonts w:hint="eastAsia" w:eastAsia="方正仿宋_GBK" w:cs="方正仿宋_GBK"/>
          <w:sz w:val="32"/>
          <w:szCs w:val="32"/>
          <w:highlight w:val="none"/>
        </w:rPr>
        <w:t>%，</w:t>
      </w:r>
      <w:r>
        <w:rPr>
          <w:rFonts w:hint="eastAsia" w:eastAsia="方正仿宋_GBK" w:cs="方正仿宋_GBK"/>
          <w:sz w:val="32"/>
          <w:szCs w:val="32"/>
          <w:highlight w:val="none"/>
          <w:lang w:eastAsia="zh-Hans"/>
        </w:rPr>
        <w:t>总体</w:t>
      </w:r>
      <w:r>
        <w:rPr>
          <w:rFonts w:hint="eastAsia" w:eastAsia="方正仿宋_GBK" w:cs="方正仿宋_GBK"/>
          <w:sz w:val="32"/>
          <w:szCs w:val="32"/>
          <w:highlight w:val="none"/>
        </w:rPr>
        <w:t>偏差率为</w:t>
      </w:r>
      <w:r>
        <w:rPr>
          <w:rFonts w:hint="eastAsia" w:eastAsia="方正仿宋_GBK" w:cs="方正仿宋_GBK"/>
          <w:sz w:val="32"/>
          <w:szCs w:val="32"/>
          <w:highlight w:val="none"/>
          <w:lang w:val="en-US" w:eastAsia="zh-CN"/>
        </w:rPr>
        <w:t>0.78</w:t>
      </w:r>
      <w:r>
        <w:rPr>
          <w:rFonts w:hint="eastAsia" w:eastAsia="方正仿宋_GBK" w:cs="方正仿宋_GBK"/>
          <w:sz w:val="32"/>
          <w:szCs w:val="32"/>
          <w:highlight w:val="none"/>
        </w:rPr>
        <w:t>%</w:t>
      </w:r>
      <w:r>
        <w:rPr>
          <w:rFonts w:hint="eastAsia"/>
          <w:highlight w:val="none"/>
          <w:lang w:val="en-US" w:eastAsia="zh-CN"/>
        </w:rPr>
        <w:t>。</w:t>
      </w:r>
      <w:r>
        <w:rPr>
          <w:rFonts w:hint="eastAsia" w:eastAsia="方正仿宋_GBK" w:cs="方正仿宋_GBK"/>
          <w:sz w:val="32"/>
          <w:szCs w:val="32"/>
          <w:highlight w:val="none"/>
          <w:lang w:val="en-US" w:eastAsia="zh-CN"/>
        </w:rPr>
        <w:t>偏差原因及改进措施</w:t>
      </w:r>
      <w:r>
        <w:rPr>
          <w:rFonts w:hint="eastAsia" w:eastAsia="方正仿宋_GBK" w:cs="方正仿宋_GBK"/>
          <w:sz w:val="32"/>
          <w:szCs w:val="32"/>
          <w:highlight w:val="none"/>
          <w:lang w:eastAsia="zh-CN"/>
        </w:rPr>
        <w:t>：</w:t>
      </w:r>
      <w:r>
        <w:rPr>
          <w:rFonts w:hint="eastAsia" w:eastAsia="方正仿宋_GBK" w:cs="方正仿宋_GBK"/>
          <w:sz w:val="32"/>
          <w:szCs w:val="32"/>
          <w:highlight w:val="none"/>
          <w:lang w:val="en-US" w:eastAsia="zh-CN"/>
        </w:rPr>
        <w:t>由于政府采购流程未完成，导致支付时间截止。今后提前完成政府采购流程和手续，保证资金按时支付。</w:t>
      </w:r>
    </w:p>
    <w:p>
      <w:pPr>
        <w:spacing w:line="560" w:lineRule="exact"/>
        <w:ind w:firstLine="640" w:firstLineChars="200"/>
        <w:rPr>
          <w:rStyle w:val="17"/>
          <w:rFonts w:ascii="Times New Roman" w:hAnsi="Times New Roman" w:cs="Times New Roman"/>
          <w:color w:val="auto"/>
        </w:rPr>
      </w:pPr>
      <w:r>
        <w:rPr>
          <w:rFonts w:hint="eastAsia" w:eastAsia="黑体"/>
          <w:sz w:val="32"/>
          <w:szCs w:val="32"/>
          <w:lang w:eastAsia="zh-Hans"/>
        </w:rPr>
        <w:t>六</w:t>
      </w:r>
      <w:r>
        <w:rPr>
          <w:rFonts w:eastAsia="黑体"/>
          <w:sz w:val="32"/>
          <w:szCs w:val="32"/>
        </w:rPr>
        <w:t>、主要经验及做法、存在的问题及原因分析</w:t>
      </w:r>
    </w:p>
    <w:p>
      <w:pPr>
        <w:spacing w:line="560" w:lineRule="exact"/>
        <w:ind w:firstLine="626" w:firstLineChars="200"/>
        <w:rPr>
          <w:rFonts w:eastAsia="楷体"/>
          <w:b/>
          <w:spacing w:val="-4"/>
          <w:sz w:val="32"/>
          <w:szCs w:val="32"/>
        </w:rPr>
      </w:pPr>
      <w:r>
        <w:rPr>
          <w:rFonts w:eastAsia="楷体"/>
          <w:b/>
          <w:spacing w:val="-4"/>
          <w:sz w:val="32"/>
          <w:szCs w:val="32"/>
        </w:rPr>
        <w:t>（一）主要经验及做法</w:t>
      </w:r>
    </w:p>
    <w:p>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6"/>
        </w:numPr>
        <w:spacing w:line="560" w:lineRule="exact"/>
        <w:ind w:firstLine="642" w:firstLineChars="200"/>
        <w:rPr>
          <w:rFonts w:eastAsia="楷体_GB2312"/>
          <w:b/>
          <w:bCs/>
          <w:sz w:val="32"/>
          <w:szCs w:val="32"/>
        </w:rPr>
      </w:pPr>
      <w:r>
        <w:rPr>
          <w:rFonts w:eastAsia="楷体_GB2312"/>
          <w:b/>
          <w:bCs/>
          <w:sz w:val="32"/>
          <w:szCs w:val="32"/>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pacing w:line="560" w:lineRule="exact"/>
        <w:ind w:firstLine="640" w:firstLineChars="200"/>
        <w:rPr>
          <w:rFonts w:eastAsia="黑体"/>
          <w:sz w:val="32"/>
          <w:szCs w:val="32"/>
        </w:rPr>
      </w:pPr>
      <w:r>
        <w:rPr>
          <w:rFonts w:hint="eastAsia" w:eastAsia="黑体"/>
          <w:sz w:val="32"/>
          <w:szCs w:val="32"/>
          <w:lang w:eastAsia="zh-Hans"/>
        </w:rPr>
        <w:t>七、</w:t>
      </w:r>
      <w:r>
        <w:rPr>
          <w:rFonts w:eastAsia="黑体"/>
          <w:sz w:val="32"/>
          <w:szCs w:val="32"/>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hd w:val="clear"/>
        <w:spacing w:line="600" w:lineRule="exact"/>
        <w:ind w:firstLine="640" w:firstLineChars="200"/>
        <w:outlineLvl w:val="0"/>
        <w:rPr>
          <w:sz w:val="22"/>
          <w:szCs w:val="28"/>
        </w:rPr>
      </w:pPr>
      <w:r>
        <w:rPr>
          <w:rFonts w:hint="eastAsia" w:ascii="仿宋_GB2312" w:hAnsi="仿宋_GB2312" w:eastAsia="仿宋_GB2312" w:cs="仿宋_GB2312"/>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eastAsia" w:ascii="仿宋_GB2312" w:hAnsi="仿宋_GB2312" w:eastAsia="仿宋_GB2312" w:cs="仿宋_GB2312"/>
          <w:sz w:val="36"/>
          <w:szCs w:val="32"/>
        </w:rPr>
        <w:t>。</w:t>
      </w:r>
    </w:p>
    <w:p>
      <w:pPr>
        <w:spacing w:line="560" w:lineRule="exact"/>
        <w:ind w:firstLine="640" w:firstLineChars="200"/>
        <w:rPr>
          <w:rFonts w:eastAsia="黑体"/>
          <w:sz w:val="32"/>
          <w:szCs w:val="32"/>
        </w:rPr>
      </w:pPr>
      <w:r>
        <w:rPr>
          <w:rFonts w:hint="eastAsia" w:eastAsia="黑体"/>
          <w:sz w:val="32"/>
          <w:szCs w:val="32"/>
          <w:lang w:eastAsia="zh-Hans"/>
        </w:rPr>
        <w:t>八、</w:t>
      </w:r>
      <w:r>
        <w:rPr>
          <w:rFonts w:eastAsia="黑体"/>
          <w:sz w:val="32"/>
          <w:szCs w:val="32"/>
        </w:rPr>
        <w:t>其他需要说</w:t>
      </w:r>
      <w:bookmarkStart w:id="6" w:name="page8"/>
      <w:bookmarkEnd w:id="6"/>
      <w:r>
        <w:rPr>
          <w:rFonts w:eastAsia="黑体"/>
          <w:sz w:val="32"/>
          <w:szCs w:val="32"/>
        </w:rPr>
        <w:t>明的问题</w:t>
      </w:r>
    </w:p>
    <w:p>
      <w:pPr>
        <w:pStyle w:val="12"/>
        <w:spacing w:after="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本项目无其他需说明的问题。</w:t>
      </w: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0" w:firstLineChars="0"/>
        <w:rPr>
          <w:rFonts w:ascii="仿宋_GB2312" w:hAnsi="仿宋_GB2312" w:eastAsia="仿宋_GB2312" w:cs="仿宋_GB2312"/>
          <w:sz w:val="32"/>
          <w:szCs w:val="32"/>
        </w:rPr>
      </w:pPr>
    </w:p>
    <w:p>
      <w:pPr>
        <w:widowControl/>
        <w:jc w:val="center"/>
        <w:textAlignment w:val="center"/>
        <w:rPr>
          <w:rFonts w:eastAsia="方正小标宋简体"/>
          <w:b/>
          <w:kern w:val="0"/>
          <w:sz w:val="32"/>
          <w:szCs w:val="32"/>
          <w:lang w:bidi="ar"/>
        </w:rPr>
        <w:sectPr>
          <w:pgSz w:w="11906" w:h="16838"/>
          <w:pgMar w:top="1440" w:right="1558" w:bottom="1440" w:left="1800" w:header="851" w:footer="992" w:gutter="0"/>
          <w:cols w:space="425" w:num="1"/>
          <w:docGrid w:type="lines" w:linePitch="312" w:charSpace="0"/>
        </w:sect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927"/>
        <w:gridCol w:w="1216"/>
        <w:gridCol w:w="526"/>
        <w:gridCol w:w="692"/>
        <w:gridCol w:w="528"/>
        <w:gridCol w:w="834"/>
        <w:gridCol w:w="805"/>
        <w:gridCol w:w="526"/>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0"/>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自治区本级政府购买演出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1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新疆艺术剧院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新疆艺术剧院杂技团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上年结转资金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年度预期目标</w:t>
            </w:r>
          </w:p>
        </w:tc>
        <w:tc>
          <w:tcPr>
            <w:tcW w:w="20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政府购买演出补助资金优先用于自治区级文艺院团在职人员绩效工资发放和其他工资福利费用支出、并可用于办公经费、公务用车运行维护费、消防设备购置等开支。</w:t>
            </w:r>
          </w:p>
        </w:tc>
        <w:tc>
          <w:tcPr>
            <w:tcW w:w="20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政府购买演出补助资金优先用于自治区级文艺院团在职人员绩效工资发放和其他工资福利费用支出、并用于办公经费、公务用车运行维护费、消防设备购置等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9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5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9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小型演出场次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229场</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设备购置数量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资金用于弥补人员经费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弥补人员数量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137人</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设备验收合格率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设备质量合格率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00"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弥补人员经费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237.6万元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237.6万元</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弥补日常公用经费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10.4万元</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由于政府采购流程未完成，导致支付时间截止。改正措施为：今后提前完成政府采购流程和手续，保证资金按时支付。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人员经费发放及时率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演出活动按时完成率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00"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提高各群众精神文化生活水平</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显著提升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00"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设备利用率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00"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2"/>
        <w:jc w:val="both"/>
        <w:rPr>
          <w:rFonts w:ascii="Times New Roman" w:hAnsi="Times New Roman"/>
        </w:rPr>
        <w:sectPr>
          <w:pgSz w:w="11906" w:h="16838"/>
          <w:pgMar w:top="1440" w:right="1558" w:bottom="1440" w:left="1800" w:header="851" w:footer="992" w:gutter="0"/>
          <w:cols w:space="425" w:num="1"/>
          <w:docGrid w:type="lines" w:linePitch="312" w:charSpace="0"/>
        </w:sectPr>
      </w:pPr>
      <w:bookmarkStart w:id="9" w:name="_GoBack"/>
      <w:bookmarkEnd w:id="9"/>
    </w:p>
    <w:p>
      <w:pPr>
        <w:spacing w:line="600" w:lineRule="exact"/>
        <w:rPr>
          <w:rFonts w:hint="eastAsia" w:ascii="黑体" w:hAnsi="黑体" w:eastAsia="黑体" w:cs="黑体"/>
        </w:rPr>
      </w:pPr>
      <w:r>
        <w:rPr>
          <w:rFonts w:hint="eastAsia" w:ascii="黑体" w:hAnsi="黑体" w:eastAsia="黑体" w:cs="黑体"/>
          <w:bCs/>
          <w:sz w:val="32"/>
          <w:szCs w:val="32"/>
        </w:rPr>
        <w:t>附件1</w:t>
      </w:r>
    </w:p>
    <w:p>
      <w:pPr>
        <w:pStyle w:val="18"/>
        <w:ind w:firstLine="562"/>
        <w:jc w:val="center"/>
        <w:rPr>
          <w:sz w:val="28"/>
          <w:szCs w:val="40"/>
        </w:rPr>
      </w:pPr>
      <w:bookmarkStart w:id="7" w:name="_Toc30064_WPSOffice_Level1"/>
      <w:bookmarkStart w:id="8" w:name="_Toc26499_WPSOffice_Level2"/>
      <w:r>
        <w:rPr>
          <w:rFonts w:hint="eastAsia"/>
          <w:b/>
          <w:bCs/>
          <w:sz w:val="28"/>
          <w:szCs w:val="40"/>
          <w:lang w:val="en-US" w:eastAsia="zh-CN"/>
        </w:rPr>
        <w:t>自治区本级政府购买演出项目</w:t>
      </w:r>
      <w:r>
        <w:rPr>
          <w:rFonts w:hint="eastAsia"/>
          <w:b/>
          <w:bCs/>
          <w:sz w:val="28"/>
          <w:szCs w:val="40"/>
        </w:rPr>
        <w:t>绩效评价指标体系及综合评分表</w:t>
      </w:r>
      <w:bookmarkEnd w:id="7"/>
      <w:bookmarkEnd w:id="8"/>
    </w:p>
    <w:tbl>
      <w:tblPr>
        <w:tblStyle w:val="13"/>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8"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一级指标</w:t>
            </w:r>
          </w:p>
        </w:tc>
        <w:tc>
          <w:tcPr>
            <w:tcW w:w="301"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二级指标</w:t>
            </w:r>
          </w:p>
        </w:tc>
        <w:tc>
          <w:tcPr>
            <w:tcW w:w="344"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三级指标</w:t>
            </w:r>
          </w:p>
        </w:tc>
        <w:tc>
          <w:tcPr>
            <w:tcW w:w="92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指标解释</w:t>
            </w:r>
          </w:p>
        </w:tc>
        <w:tc>
          <w:tcPr>
            <w:tcW w:w="2048"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指标说明</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权重</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r>
              <w:rPr>
                <w:color w:val="000000"/>
                <w:kern w:val="0"/>
                <w:sz w:val="22"/>
                <w:szCs w:val="22"/>
              </w:rPr>
              <w:t>决策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项目立项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立项依据</w:t>
            </w:r>
          </w:p>
          <w:p>
            <w:pPr>
              <w:widowControl/>
              <w:spacing w:line="0" w:lineRule="atLeast"/>
              <w:jc w:val="center"/>
              <w:rPr>
                <w:color w:val="000000"/>
                <w:kern w:val="0"/>
                <w:sz w:val="22"/>
                <w:szCs w:val="22"/>
              </w:rPr>
            </w:pPr>
            <w:r>
              <w:rPr>
                <w:color w:val="000000"/>
                <w:kern w:val="0"/>
                <w:sz w:val="22"/>
                <w:szCs w:val="22"/>
              </w:rPr>
              <w:t>充分性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2048"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①项目立项是否符合国家法律法规、国民经济发展规划和相关政策；</w:t>
            </w:r>
            <w:r>
              <w:rPr>
                <w:color w:val="000000"/>
                <w:kern w:val="0"/>
                <w:sz w:val="22"/>
                <w:szCs w:val="22"/>
              </w:rPr>
              <w:br w:type="textWrapping"/>
            </w:r>
            <w:r>
              <w:rPr>
                <w:color w:val="000000"/>
                <w:kern w:val="0"/>
                <w:sz w:val="22"/>
                <w:szCs w:val="22"/>
              </w:rPr>
              <w:t>②项目立项是否符合行业发展规划和政策要求；</w:t>
            </w:r>
            <w:r>
              <w:rPr>
                <w:color w:val="000000"/>
                <w:kern w:val="0"/>
                <w:sz w:val="22"/>
                <w:szCs w:val="22"/>
              </w:rPr>
              <w:br w:type="textWrapping"/>
            </w:r>
            <w:r>
              <w:rPr>
                <w:color w:val="000000"/>
                <w:kern w:val="0"/>
                <w:sz w:val="22"/>
                <w:szCs w:val="22"/>
              </w:rPr>
              <w:t>③项目立项是否与部门职责范围相符，属于部门履职所需；</w:t>
            </w:r>
            <w:r>
              <w:rPr>
                <w:color w:val="000000"/>
                <w:kern w:val="0"/>
                <w:sz w:val="22"/>
                <w:szCs w:val="22"/>
              </w:rPr>
              <w:br w:type="textWrapping"/>
            </w:r>
            <w:r>
              <w:rPr>
                <w:color w:val="000000"/>
                <w:kern w:val="0"/>
                <w:sz w:val="22"/>
                <w:szCs w:val="22"/>
              </w:rPr>
              <w:t>④项目是否属于公共财政支持范围，是否符合中央、地方事权支出责任划分原则；</w:t>
            </w:r>
            <w:r>
              <w:rPr>
                <w:color w:val="000000"/>
                <w:kern w:val="0"/>
                <w:sz w:val="22"/>
                <w:szCs w:val="22"/>
              </w:rPr>
              <w:br w:type="textWrapping"/>
            </w:r>
            <w:r>
              <w:rPr>
                <w:color w:val="000000"/>
                <w:kern w:val="0"/>
                <w:sz w:val="22"/>
                <w:szCs w:val="22"/>
              </w:rPr>
              <w:t>⑤项目是否与相关部门同类项目或部门内部相关项目重复。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立项程序</w:t>
            </w:r>
          </w:p>
          <w:p>
            <w:pPr>
              <w:widowControl/>
              <w:spacing w:line="0" w:lineRule="atLeast"/>
              <w:jc w:val="center"/>
              <w:rPr>
                <w:color w:val="000000"/>
                <w:kern w:val="0"/>
                <w:sz w:val="22"/>
                <w:szCs w:val="22"/>
              </w:rPr>
            </w:pPr>
            <w:r>
              <w:rPr>
                <w:color w:val="000000"/>
                <w:kern w:val="0"/>
                <w:sz w:val="22"/>
                <w:szCs w:val="22"/>
              </w:rPr>
              <w:t>规范性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2048"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①项目是否按照规定的程序申请设立；</w:t>
            </w:r>
            <w:r>
              <w:rPr>
                <w:color w:val="000000"/>
                <w:kern w:val="0"/>
                <w:sz w:val="22"/>
                <w:szCs w:val="22"/>
              </w:rPr>
              <w:br w:type="textWrapping"/>
            </w:r>
            <w:r>
              <w:rPr>
                <w:color w:val="000000"/>
                <w:kern w:val="0"/>
                <w:sz w:val="22"/>
                <w:szCs w:val="22"/>
              </w:rPr>
              <w:t>②审批文件、材料是否符合相关要求；</w:t>
            </w:r>
            <w:r>
              <w:rPr>
                <w:color w:val="000000"/>
                <w:kern w:val="0"/>
                <w:sz w:val="22"/>
                <w:szCs w:val="22"/>
              </w:rPr>
              <w:br w:type="textWrapping"/>
            </w:r>
            <w:r>
              <w:rPr>
                <w:color w:val="000000"/>
                <w:kern w:val="0"/>
                <w:sz w:val="22"/>
                <w:szCs w:val="22"/>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2048" w:type="pct"/>
            <w:shd w:val="clear" w:color="000000"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（如未设定预算绩效目标，也可考核其他工作任务目标）</w:t>
            </w:r>
            <w:r>
              <w:rPr>
                <w:color w:val="000000"/>
                <w:kern w:val="0"/>
                <w:sz w:val="22"/>
                <w:szCs w:val="22"/>
              </w:rPr>
              <w:br w:type="textWrapping"/>
            </w:r>
            <w:r>
              <w:rPr>
                <w:color w:val="000000"/>
                <w:kern w:val="0"/>
                <w:sz w:val="22"/>
                <w:szCs w:val="22"/>
              </w:rPr>
              <w:t>①项目是否有绩效目标；</w:t>
            </w:r>
            <w:r>
              <w:rPr>
                <w:color w:val="000000"/>
                <w:kern w:val="0"/>
                <w:sz w:val="22"/>
                <w:szCs w:val="22"/>
              </w:rPr>
              <w:br w:type="textWrapping"/>
            </w:r>
            <w:r>
              <w:rPr>
                <w:color w:val="000000"/>
                <w:kern w:val="0"/>
                <w:sz w:val="22"/>
                <w:szCs w:val="22"/>
              </w:rPr>
              <w:t>②项目绩效目标与实际工作内容是否具有相关性；</w:t>
            </w:r>
            <w:r>
              <w:rPr>
                <w:color w:val="000000"/>
                <w:kern w:val="0"/>
                <w:sz w:val="22"/>
                <w:szCs w:val="22"/>
              </w:rPr>
              <w:br w:type="textWrapping"/>
            </w:r>
            <w:r>
              <w:rPr>
                <w:color w:val="000000"/>
                <w:kern w:val="0"/>
                <w:sz w:val="22"/>
                <w:szCs w:val="22"/>
              </w:rPr>
              <w:t>③项目预期产出效益和效果是否符合正常的业绩水平；</w:t>
            </w:r>
          </w:p>
          <w:p>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绩效指标</w:t>
            </w:r>
          </w:p>
          <w:p>
            <w:pPr>
              <w:widowControl/>
              <w:spacing w:line="0" w:lineRule="atLeast"/>
              <w:jc w:val="center"/>
              <w:rPr>
                <w:color w:val="000000"/>
                <w:kern w:val="0"/>
                <w:sz w:val="22"/>
                <w:szCs w:val="22"/>
              </w:rPr>
            </w:pPr>
            <w:r>
              <w:rPr>
                <w:color w:val="000000"/>
                <w:kern w:val="0"/>
                <w:sz w:val="22"/>
                <w:szCs w:val="22"/>
              </w:rPr>
              <w:t>明确性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①是否将项目绩效目标细化分解为具体的绩效指标；</w:t>
            </w:r>
            <w:r>
              <w:rPr>
                <w:color w:val="000000"/>
                <w:kern w:val="0"/>
                <w:sz w:val="22"/>
                <w:szCs w:val="22"/>
              </w:rPr>
              <w:br w:type="textWrapping"/>
            </w:r>
            <w:r>
              <w:rPr>
                <w:color w:val="000000"/>
                <w:kern w:val="0"/>
                <w:sz w:val="22"/>
                <w:szCs w:val="22"/>
              </w:rPr>
              <w:t>②是否通过清晰、可衡量的指标值予以体现；</w:t>
            </w:r>
            <w:r>
              <w:rPr>
                <w:color w:val="000000"/>
                <w:kern w:val="0"/>
                <w:sz w:val="22"/>
                <w:szCs w:val="22"/>
              </w:rPr>
              <w:br w:type="textWrapping"/>
            </w:r>
            <w:r>
              <w:rPr>
                <w:color w:val="000000"/>
                <w:kern w:val="0"/>
                <w:sz w:val="22"/>
                <w:szCs w:val="22"/>
              </w:rPr>
              <w:t>③是否与项目目标任务数或计划数相对应。</w:t>
            </w:r>
            <w:r>
              <w:rPr>
                <w:color w:val="000000"/>
                <w:kern w:val="0"/>
                <w:sz w:val="22"/>
                <w:szCs w:val="22"/>
              </w:rPr>
              <w:br w:type="textWrapping"/>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资金投入</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预算编制</w:t>
            </w:r>
          </w:p>
          <w:p>
            <w:pPr>
              <w:widowControl/>
              <w:spacing w:line="0" w:lineRule="atLeast"/>
              <w:jc w:val="center"/>
              <w:rPr>
                <w:color w:val="000000"/>
                <w:kern w:val="0"/>
                <w:sz w:val="22"/>
                <w:szCs w:val="22"/>
              </w:rPr>
            </w:pPr>
            <w:r>
              <w:rPr>
                <w:color w:val="000000"/>
                <w:kern w:val="0"/>
                <w:sz w:val="22"/>
                <w:szCs w:val="22"/>
              </w:rPr>
              <w:t>科学性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①预算编制是否经过科学论证；</w:t>
            </w:r>
            <w:r>
              <w:rPr>
                <w:color w:val="000000"/>
                <w:kern w:val="0"/>
                <w:sz w:val="22"/>
                <w:szCs w:val="22"/>
              </w:rPr>
              <w:br w:type="textWrapping"/>
            </w:r>
            <w:r>
              <w:rPr>
                <w:color w:val="000000"/>
                <w:kern w:val="0"/>
                <w:sz w:val="22"/>
                <w:szCs w:val="22"/>
              </w:rPr>
              <w:t>②预算内容与项目内容是否匹配；</w:t>
            </w:r>
            <w:r>
              <w:rPr>
                <w:color w:val="000000"/>
                <w:kern w:val="0"/>
                <w:sz w:val="22"/>
                <w:szCs w:val="22"/>
              </w:rPr>
              <w:br w:type="textWrapping"/>
            </w:r>
            <w:r>
              <w:rPr>
                <w:color w:val="000000"/>
                <w:kern w:val="0"/>
                <w:sz w:val="22"/>
                <w:szCs w:val="22"/>
              </w:rPr>
              <w:t>③预算额度测算依据是否充分，是否按照标准编制；</w:t>
            </w:r>
            <w:r>
              <w:rPr>
                <w:color w:val="000000"/>
                <w:kern w:val="0"/>
                <w:sz w:val="22"/>
                <w:szCs w:val="22"/>
              </w:rPr>
              <w:br w:type="textWrapping"/>
            </w:r>
            <w:r>
              <w:rPr>
                <w:color w:val="000000"/>
                <w:kern w:val="0"/>
                <w:sz w:val="22"/>
                <w:szCs w:val="22"/>
              </w:rPr>
              <w:t>④预算确定的项目投资额或资金量是否与工作任务相匹配。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资金分配</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①预算资金分配依据是否充分；</w:t>
            </w:r>
            <w:r>
              <w:rPr>
                <w:color w:val="000000"/>
                <w:kern w:val="0"/>
                <w:sz w:val="22"/>
                <w:szCs w:val="22"/>
              </w:rPr>
              <w:br w:type="textWrapping"/>
            </w:r>
            <w:r>
              <w:rPr>
                <w:color w:val="000000"/>
                <w:kern w:val="0"/>
                <w:sz w:val="22"/>
                <w:szCs w:val="22"/>
              </w:rPr>
              <w:t>②资金分配额度是否合理，与项目单位或地方实际是否相适应。</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8" w:type="pct"/>
            <w:vMerge w:val="restart"/>
            <w:shd w:val="clear" w:color="auto" w:fill="FFFFFF"/>
            <w:vAlign w:val="center"/>
          </w:tcPr>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r>
              <w:rPr>
                <w:color w:val="000000"/>
                <w:kern w:val="0"/>
                <w:sz w:val="22"/>
                <w:szCs w:val="22"/>
              </w:rPr>
              <w:t>过程</w:t>
            </w:r>
          </w:p>
          <w:p>
            <w:pPr>
              <w:widowControl/>
              <w:spacing w:line="0" w:lineRule="atLeast"/>
              <w:jc w:val="center"/>
              <w:rPr>
                <w:color w:val="000000"/>
                <w:kern w:val="0"/>
                <w:sz w:val="22"/>
                <w:szCs w:val="22"/>
              </w:rPr>
            </w:pPr>
            <w:r>
              <w:rPr>
                <w:color w:val="000000"/>
                <w:kern w:val="0"/>
                <w:sz w:val="22"/>
                <w:szCs w:val="22"/>
              </w:rPr>
              <w:t>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资金到位率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资金到位率=（实际到位资金/预算资金）×100%。</w:t>
            </w:r>
          </w:p>
          <w:p>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预算执行率</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预算执行率=（实际支出资金/实际到位资金）×100%。</w:t>
            </w:r>
            <w:r>
              <w:rPr>
                <w:color w:val="000000"/>
                <w:kern w:val="0"/>
                <w:sz w:val="22"/>
                <w:szCs w:val="22"/>
              </w:rPr>
              <w:br w:type="textWrapping"/>
            </w:r>
            <w:r>
              <w:rPr>
                <w:color w:val="000000"/>
                <w:kern w:val="0"/>
                <w:sz w:val="22"/>
                <w:szCs w:val="22"/>
              </w:rPr>
              <w:t>实际支出资金：一定时期（本年度或项目期）内项目实际拨付的资金。</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资金使用</w:t>
            </w:r>
          </w:p>
          <w:p>
            <w:pPr>
              <w:widowControl/>
              <w:spacing w:line="0" w:lineRule="atLeast"/>
              <w:jc w:val="center"/>
              <w:rPr>
                <w:color w:val="000000"/>
                <w:kern w:val="0"/>
                <w:sz w:val="22"/>
                <w:szCs w:val="22"/>
              </w:rPr>
            </w:pPr>
            <w:r>
              <w:rPr>
                <w:color w:val="000000"/>
                <w:kern w:val="0"/>
                <w:sz w:val="22"/>
                <w:szCs w:val="22"/>
              </w:rPr>
              <w:t>合规性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①是否符合国家财经法规和财务管理制度以及有关专项资金管理办法的规定；</w:t>
            </w:r>
            <w:r>
              <w:rPr>
                <w:color w:val="000000"/>
                <w:kern w:val="0"/>
                <w:sz w:val="22"/>
                <w:szCs w:val="22"/>
              </w:rPr>
              <w:br w:type="textWrapping"/>
            </w:r>
            <w:r>
              <w:rPr>
                <w:color w:val="000000"/>
                <w:kern w:val="0"/>
                <w:sz w:val="22"/>
                <w:szCs w:val="22"/>
              </w:rPr>
              <w:t>②资金的拨付是否有完整的审批程序和手续；</w:t>
            </w:r>
            <w:r>
              <w:rPr>
                <w:color w:val="000000"/>
                <w:kern w:val="0"/>
                <w:sz w:val="22"/>
                <w:szCs w:val="22"/>
              </w:rPr>
              <w:br w:type="textWrapping"/>
            </w:r>
            <w:r>
              <w:rPr>
                <w:color w:val="000000"/>
                <w:kern w:val="0"/>
                <w:sz w:val="22"/>
                <w:szCs w:val="22"/>
              </w:rPr>
              <w:t>③是否符合项目预算批复或合同规定的用途；</w:t>
            </w:r>
            <w:r>
              <w:rPr>
                <w:color w:val="000000"/>
                <w:kern w:val="0"/>
                <w:sz w:val="22"/>
                <w:szCs w:val="22"/>
              </w:rPr>
              <w:br w:type="textWrapping"/>
            </w:r>
            <w:r>
              <w:rPr>
                <w:color w:val="000000"/>
                <w:kern w:val="0"/>
                <w:sz w:val="22"/>
                <w:szCs w:val="22"/>
              </w:rPr>
              <w:t>④是否存在截留、挤占、挪用、虚列支出等情况。</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组织实施</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管理制度</w:t>
            </w:r>
          </w:p>
          <w:p>
            <w:pPr>
              <w:widowControl/>
              <w:spacing w:line="0" w:lineRule="atLeast"/>
              <w:jc w:val="center"/>
              <w:rPr>
                <w:color w:val="000000"/>
                <w:kern w:val="0"/>
                <w:sz w:val="22"/>
                <w:szCs w:val="22"/>
              </w:rPr>
            </w:pPr>
            <w:r>
              <w:rPr>
                <w:color w:val="000000"/>
                <w:kern w:val="0"/>
                <w:sz w:val="22"/>
                <w:szCs w:val="22"/>
              </w:rPr>
              <w:t>健全性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①是否已制定或具有相应的财务和业务管理制度；</w:t>
            </w:r>
            <w:r>
              <w:rPr>
                <w:color w:val="000000"/>
                <w:kern w:val="0"/>
                <w:sz w:val="22"/>
                <w:szCs w:val="22"/>
              </w:rPr>
              <w:br w:type="textWrapping"/>
            </w:r>
            <w:r>
              <w:rPr>
                <w:color w:val="000000"/>
                <w:kern w:val="0"/>
                <w:sz w:val="22"/>
                <w:szCs w:val="22"/>
              </w:rPr>
              <w:t>②财务和业务管理制度是否合法、合规、完整。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制度执行</w:t>
            </w:r>
          </w:p>
          <w:p>
            <w:pPr>
              <w:widowControl/>
              <w:spacing w:line="0" w:lineRule="atLeast"/>
              <w:jc w:val="center"/>
              <w:rPr>
                <w:color w:val="000000"/>
                <w:kern w:val="0"/>
                <w:sz w:val="22"/>
                <w:szCs w:val="22"/>
              </w:rPr>
            </w:pPr>
            <w:r>
              <w:rPr>
                <w:color w:val="000000"/>
                <w:kern w:val="0"/>
                <w:sz w:val="22"/>
                <w:szCs w:val="22"/>
              </w:rPr>
              <w:t>有效性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①是否遵守相关法律法规和相关管理规定；</w:t>
            </w:r>
            <w:r>
              <w:rPr>
                <w:color w:val="000000"/>
                <w:kern w:val="0"/>
                <w:sz w:val="22"/>
                <w:szCs w:val="22"/>
              </w:rPr>
              <w:br w:type="textWrapping"/>
            </w:r>
            <w:r>
              <w:rPr>
                <w:color w:val="000000"/>
                <w:kern w:val="0"/>
                <w:sz w:val="22"/>
                <w:szCs w:val="22"/>
              </w:rPr>
              <w:t>②项目调整及支出调整手续是否完备；</w:t>
            </w:r>
            <w:r>
              <w:rPr>
                <w:color w:val="000000"/>
                <w:kern w:val="0"/>
                <w:sz w:val="22"/>
                <w:szCs w:val="22"/>
              </w:rPr>
              <w:br w:type="textWrapping"/>
            </w:r>
            <w:r>
              <w:rPr>
                <w:color w:val="000000"/>
                <w:kern w:val="0"/>
                <w:sz w:val="22"/>
                <w:szCs w:val="22"/>
              </w:rPr>
              <w:t>③项目合同书、验收报告、技术鉴定等资料是否齐全并及时归档；</w:t>
            </w:r>
            <w:r>
              <w:rPr>
                <w:color w:val="000000"/>
                <w:kern w:val="0"/>
                <w:sz w:val="22"/>
                <w:szCs w:val="22"/>
              </w:rPr>
              <w:br w:type="textWrapping"/>
            </w:r>
            <w:r>
              <w:rPr>
                <w:color w:val="000000"/>
                <w:kern w:val="0"/>
                <w:sz w:val="22"/>
                <w:szCs w:val="22"/>
              </w:rPr>
              <w:t>④项目实施的人员条件、场地设备、信息支撑等是否落实到位。</w:t>
            </w:r>
          </w:p>
        </w:tc>
        <w:tc>
          <w:tcPr>
            <w:tcW w:w="512" w:type="pct"/>
            <w:shd w:val="clear" w:color="000000" w:fill="FFFFFF"/>
            <w:vAlign w:val="center"/>
          </w:tcPr>
          <w:p>
            <w:pPr>
              <w:widowControl/>
              <w:spacing w:line="0" w:lineRule="atLeast"/>
              <w:jc w:val="center"/>
              <w:rPr>
                <w:rFonts w:hint="eastAsia" w:eastAsia="宋体"/>
                <w:b/>
                <w:bCs/>
                <w:color w:val="000000"/>
                <w:kern w:val="0"/>
                <w:sz w:val="22"/>
                <w:szCs w:val="22"/>
                <w:lang w:eastAsia="zh-CN"/>
              </w:rPr>
            </w:pPr>
            <w:r>
              <w:rPr>
                <w:rFonts w:hint="eastAsia"/>
                <w:b/>
                <w:bCs/>
                <w:color w:val="000000"/>
                <w:kern w:val="0"/>
                <w:sz w:val="22"/>
                <w:szCs w:val="22"/>
                <w:lang w:val="en-US" w:eastAsia="zh-CN"/>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产出</w:t>
            </w: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产出数量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实际完成率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实际完成率=（实际产出数/计划产出数）×100%。</w:t>
            </w:r>
            <w:r>
              <w:rPr>
                <w:color w:val="000000"/>
                <w:kern w:val="0"/>
                <w:sz w:val="22"/>
                <w:szCs w:val="22"/>
              </w:rPr>
              <w:br w:type="textWrapping"/>
            </w:r>
            <w:r>
              <w:rPr>
                <w:color w:val="000000"/>
                <w:kern w:val="0"/>
                <w:sz w:val="22"/>
                <w:szCs w:val="22"/>
              </w:rPr>
              <w:t>实际产出数：一定时期（本年度或项目期）内项目实际产出的产品或提供的服务数量。</w:t>
            </w:r>
            <w:r>
              <w:rPr>
                <w:color w:val="000000"/>
                <w:kern w:val="0"/>
                <w:sz w:val="22"/>
                <w:szCs w:val="22"/>
              </w:rPr>
              <w:br w:type="textWrapping"/>
            </w:r>
            <w:r>
              <w:rPr>
                <w:color w:val="000000"/>
                <w:kern w:val="0"/>
                <w:sz w:val="22"/>
                <w:szCs w:val="22"/>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9.51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产出质量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质量达标率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质量达标率=（质量达标产出数/实际产出数）×100%。</w:t>
            </w:r>
          </w:p>
          <w:p>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spacing w:line="0" w:lineRule="atLeast"/>
              <w:jc w:val="center"/>
              <w:rPr>
                <w:color w:val="000000"/>
                <w:kern w:val="0"/>
                <w:sz w:val="22"/>
                <w:szCs w:val="22"/>
              </w:rPr>
            </w:pPr>
            <w:r>
              <w:rPr>
                <w:color w:val="000000"/>
                <w:kern w:val="0"/>
                <w:sz w:val="22"/>
                <w:szCs w:val="22"/>
              </w:rPr>
              <w:t>产出时效</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完成及时性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type="textWrapping"/>
            </w:r>
            <w:r>
              <w:rPr>
                <w:color w:val="000000"/>
                <w:kern w:val="0"/>
                <w:sz w:val="22"/>
                <w:szCs w:val="22"/>
              </w:rPr>
              <w:t>计划完成时间：按照项目实施计划或相关规定完成该项目所需的时间。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产出成本</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成本节约率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br w:type="textWrapping"/>
            </w:r>
            <w:r>
              <w:rPr>
                <w:color w:val="000000"/>
                <w:kern w:val="0"/>
                <w:sz w:val="22"/>
                <w:szCs w:val="22"/>
              </w:rPr>
              <w:t>成本节约率=[（计划成本-实际成本）/计划成本]×100%。</w:t>
            </w:r>
            <w:r>
              <w:rPr>
                <w:color w:val="000000"/>
                <w:kern w:val="0"/>
                <w:sz w:val="22"/>
                <w:szCs w:val="22"/>
              </w:rPr>
              <w:br w:type="textWrapping"/>
            </w:r>
            <w:r>
              <w:rPr>
                <w:color w:val="000000"/>
                <w:kern w:val="0"/>
                <w:sz w:val="22"/>
                <w:szCs w:val="22"/>
              </w:rPr>
              <w:t>实际成本：项目实施单位如期、保质、保量完成既定工作目标实际所耗费的支出。</w:t>
            </w:r>
            <w:r>
              <w:rPr>
                <w:color w:val="000000"/>
                <w:kern w:val="0"/>
                <w:sz w:val="22"/>
                <w:szCs w:val="22"/>
              </w:rPr>
              <w:br w:type="textWrapping"/>
            </w:r>
            <w:r>
              <w:rPr>
                <w:color w:val="000000"/>
                <w:kern w:val="0"/>
                <w:sz w:val="22"/>
                <w:szCs w:val="22"/>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效益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项目效益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实施效益</w:t>
            </w:r>
          </w:p>
        </w:tc>
        <w:tc>
          <w:tcPr>
            <w:tcW w:w="927" w:type="pct"/>
            <w:shd w:val="clear" w:color="auto" w:fill="FFFFFF"/>
            <w:vAlign w:val="center"/>
          </w:tcPr>
          <w:p>
            <w:pPr>
              <w:widowControl/>
              <w:spacing w:line="0" w:lineRule="atLeast"/>
              <w:jc w:val="left"/>
              <w:rPr>
                <w:color w:val="000000"/>
                <w:kern w:val="0"/>
                <w:sz w:val="22"/>
                <w:szCs w:val="22"/>
              </w:rPr>
            </w:pPr>
            <w:r>
              <w:rPr>
                <w:color w:val="000000"/>
                <w:kern w:val="0"/>
                <w:sz w:val="22"/>
                <w:szCs w:val="22"/>
              </w:rPr>
              <w:t>项目实施所产生的效益。</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满意度</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bl>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0FE1"/>
    <w:multiLevelType w:val="singleLevel"/>
    <w:tmpl w:val="DEF60FE1"/>
    <w:lvl w:ilvl="0" w:tentative="0">
      <w:start w:val="1"/>
      <w:numFmt w:val="decimal"/>
      <w:suff w:val="nothing"/>
      <w:lvlText w:val="（%1）"/>
      <w:lvlJc w:val="left"/>
    </w:lvl>
  </w:abstractNum>
  <w:abstractNum w:abstractNumId="1">
    <w:nsid w:val="E83853AE"/>
    <w:multiLevelType w:val="singleLevel"/>
    <w:tmpl w:val="E83853AE"/>
    <w:lvl w:ilvl="0" w:tentative="0">
      <w:start w:val="2"/>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6913BB9"/>
    <w:rsid w:val="07397B77"/>
    <w:rsid w:val="0F2E3DE7"/>
    <w:rsid w:val="116862E2"/>
    <w:rsid w:val="13471461"/>
    <w:rsid w:val="13B90F01"/>
    <w:rsid w:val="181066D2"/>
    <w:rsid w:val="1C671E73"/>
    <w:rsid w:val="24200419"/>
    <w:rsid w:val="33BF6215"/>
    <w:rsid w:val="33EA50D0"/>
    <w:rsid w:val="38CA40DD"/>
    <w:rsid w:val="395F2B56"/>
    <w:rsid w:val="3BECE841"/>
    <w:rsid w:val="3FF7797D"/>
    <w:rsid w:val="49A550B9"/>
    <w:rsid w:val="51BD58DF"/>
    <w:rsid w:val="5BFF6039"/>
    <w:rsid w:val="5D76A616"/>
    <w:rsid w:val="5D7F20B9"/>
    <w:rsid w:val="5DAC7D0E"/>
    <w:rsid w:val="5F98B5AF"/>
    <w:rsid w:val="5FFE8511"/>
    <w:rsid w:val="5FFEACE2"/>
    <w:rsid w:val="643EE26D"/>
    <w:rsid w:val="6DCA3150"/>
    <w:rsid w:val="6F5C41AC"/>
    <w:rsid w:val="6FAF6C78"/>
    <w:rsid w:val="7317C656"/>
    <w:rsid w:val="734ED73F"/>
    <w:rsid w:val="74AA60D5"/>
    <w:rsid w:val="77FD8BE9"/>
    <w:rsid w:val="79A9BD3F"/>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EBFF8E6E"/>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9923</Words>
  <Characters>10329</Characters>
  <Lines>58</Lines>
  <Paragraphs>16</Paragraphs>
  <TotalTime>7</TotalTime>
  <ScaleCrop>false</ScaleCrop>
  <LinksUpToDate>false</LinksUpToDate>
  <CharactersWithSpaces>10394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2023-03-08T21:13:00Z</dcterms:created>
  <dc:creator>审核人</dc:creator>
  <cp:lastModifiedBy>wlt</cp:lastModifiedBy>
  <dcterms:modified xsi:type="dcterms:W3CDTF">2024-01-09T12:37:44Z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6235EF217E59454FA660C9A0B4B0279A_13</vt:lpwstr>
  </property>
</Properties>
</file>