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 w:hAnsi="仿宋" w:eastAsia="仿宋" w:cs="仿宋"/>
          <w:b/>
          <w:kern w:val="0"/>
          <w:sz w:val="30"/>
          <w:szCs w:val="30"/>
          <w:highlight w:val="none"/>
        </w:rPr>
      </w:pPr>
    </w:p>
    <w:p>
      <w:pPr>
        <w:spacing w:line="540" w:lineRule="exact"/>
        <w:rPr>
          <w:rFonts w:hint="eastAsia" w:ascii="仿宋" w:hAnsi="仿宋" w:eastAsia="仿宋" w:cs="仿宋"/>
          <w:b/>
          <w:kern w:val="0"/>
          <w:sz w:val="30"/>
          <w:szCs w:val="30"/>
          <w:highlight w:val="none"/>
        </w:rPr>
      </w:pPr>
    </w:p>
    <w:p>
      <w:pPr>
        <w:spacing w:line="540" w:lineRule="exact"/>
        <w:jc w:val="center"/>
        <w:rPr>
          <w:rFonts w:hint="eastAsia" w:ascii="仿宋" w:hAnsi="仿宋" w:eastAsia="仿宋" w:cs="仿宋"/>
          <w:b/>
          <w:kern w:val="0"/>
          <w:sz w:val="30"/>
          <w:szCs w:val="30"/>
          <w:highlight w:val="none"/>
        </w:rPr>
      </w:pPr>
    </w:p>
    <w:p>
      <w:pPr>
        <w:spacing w:line="540" w:lineRule="exact"/>
        <w:jc w:val="center"/>
        <w:rPr>
          <w:rFonts w:hint="eastAsia" w:ascii="仿宋" w:hAnsi="仿宋" w:eastAsia="仿宋" w:cs="仿宋"/>
          <w:b/>
          <w:kern w:val="0"/>
          <w:sz w:val="30"/>
          <w:szCs w:val="30"/>
          <w:highlight w:val="none"/>
        </w:rPr>
      </w:pPr>
    </w:p>
    <w:p>
      <w:pPr>
        <w:spacing w:line="540" w:lineRule="exact"/>
        <w:jc w:val="center"/>
        <w:rPr>
          <w:rFonts w:hint="eastAsia" w:ascii="方正粗黑宋简体" w:hAnsi="方正粗黑宋简体" w:eastAsia="方正粗黑宋简体" w:cs="方正粗黑宋简体"/>
          <w:kern w:val="0"/>
          <w:sz w:val="52"/>
          <w:szCs w:val="52"/>
          <w:highlight w:val="none"/>
        </w:rPr>
      </w:pPr>
      <w:r>
        <w:rPr>
          <w:rFonts w:hint="eastAsia" w:ascii="方正粗黑宋简体" w:hAnsi="方正粗黑宋简体" w:eastAsia="方正粗黑宋简体" w:cs="方正粗黑宋简体"/>
          <w:kern w:val="0"/>
          <w:sz w:val="52"/>
          <w:szCs w:val="52"/>
          <w:highlight w:val="none"/>
        </w:rPr>
        <w:t>木卡姆艺术团综合业务楼运行补助项目支出绩效评价</w:t>
      </w:r>
    </w:p>
    <w:p>
      <w:pPr>
        <w:spacing w:line="540" w:lineRule="exact"/>
        <w:jc w:val="center"/>
        <w:rPr>
          <w:rFonts w:hint="eastAsia" w:ascii="方正粗黑宋简体" w:hAnsi="方正粗黑宋简体" w:eastAsia="方正粗黑宋简体" w:cs="方正粗黑宋简体"/>
          <w:kern w:val="0"/>
          <w:sz w:val="52"/>
          <w:szCs w:val="52"/>
          <w:highlight w:val="none"/>
        </w:rPr>
      </w:pPr>
      <w:r>
        <w:rPr>
          <w:rFonts w:hint="eastAsia" w:ascii="方正粗黑宋简体" w:hAnsi="方正粗黑宋简体" w:eastAsia="方正粗黑宋简体" w:cs="方正粗黑宋简体"/>
          <w:kern w:val="0"/>
          <w:sz w:val="52"/>
          <w:szCs w:val="52"/>
          <w:highlight w:val="none"/>
        </w:rPr>
        <w:t>报告</w:t>
      </w:r>
    </w:p>
    <w:p>
      <w:pPr>
        <w:spacing w:line="540" w:lineRule="exact"/>
        <w:jc w:val="center"/>
        <w:rPr>
          <w:rFonts w:hint="eastAsia" w:ascii="方正粗黑宋简体" w:hAnsi="方正粗黑宋简体" w:eastAsia="方正粗黑宋简体" w:cs="方正粗黑宋简体"/>
          <w:b/>
          <w:kern w:val="0"/>
          <w:sz w:val="52"/>
          <w:szCs w:val="52"/>
          <w:highlight w:val="none"/>
        </w:rPr>
      </w:pPr>
    </w:p>
    <w:p>
      <w:pPr>
        <w:spacing w:line="540" w:lineRule="exact"/>
        <w:jc w:val="center"/>
        <w:rPr>
          <w:rFonts w:hint="eastAsia" w:ascii="方正粗黑宋简体" w:hAnsi="方正粗黑宋简体" w:eastAsia="方正粗黑宋简体" w:cs="方正粗黑宋简体"/>
          <w:kern w:val="0"/>
          <w:sz w:val="52"/>
          <w:szCs w:val="52"/>
          <w:highlight w:val="none"/>
        </w:rPr>
      </w:pPr>
      <w:r>
        <w:rPr>
          <w:rFonts w:hint="eastAsia" w:ascii="方正粗黑宋简体" w:hAnsi="方正粗黑宋简体" w:eastAsia="方正粗黑宋简体" w:cs="方正粗黑宋简体"/>
          <w:kern w:val="0"/>
          <w:sz w:val="52"/>
          <w:szCs w:val="52"/>
          <w:highlight w:val="none"/>
        </w:rPr>
        <w:t>（2022年度）</w:t>
      </w:r>
    </w:p>
    <w:p>
      <w:pPr>
        <w:spacing w:line="540" w:lineRule="exact"/>
        <w:jc w:val="center"/>
        <w:rPr>
          <w:rFonts w:hint="eastAsia" w:ascii="方正粗黑宋简体" w:hAnsi="方正粗黑宋简体" w:eastAsia="方正粗黑宋简体" w:cs="方正粗黑宋简体"/>
          <w:kern w:val="0"/>
          <w:sz w:val="52"/>
          <w:szCs w:val="52"/>
          <w:highlight w:val="none"/>
        </w:rPr>
      </w:pPr>
    </w:p>
    <w:p>
      <w:pPr>
        <w:spacing w:line="540" w:lineRule="exact"/>
        <w:jc w:val="center"/>
        <w:rPr>
          <w:rFonts w:hint="eastAsia" w:ascii="仿宋" w:hAnsi="仿宋" w:eastAsia="仿宋" w:cs="仿宋"/>
          <w:kern w:val="0"/>
          <w:sz w:val="30"/>
          <w:szCs w:val="30"/>
          <w:highlight w:val="none"/>
        </w:rPr>
      </w:pPr>
    </w:p>
    <w:p>
      <w:pPr>
        <w:spacing w:line="540" w:lineRule="exact"/>
        <w:jc w:val="center"/>
        <w:rPr>
          <w:rFonts w:hint="eastAsia" w:ascii="仿宋" w:hAnsi="仿宋" w:eastAsia="仿宋" w:cs="仿宋"/>
          <w:kern w:val="0"/>
          <w:sz w:val="30"/>
          <w:szCs w:val="30"/>
          <w:highlight w:val="none"/>
        </w:rPr>
      </w:pPr>
    </w:p>
    <w:p>
      <w:pPr>
        <w:pStyle w:val="2"/>
        <w:rPr>
          <w:rFonts w:hint="eastAsia" w:ascii="仿宋" w:hAnsi="仿宋" w:eastAsia="仿宋" w:cs="仿宋"/>
          <w:sz w:val="30"/>
          <w:szCs w:val="30"/>
          <w:highlight w:val="none"/>
        </w:rPr>
      </w:pPr>
    </w:p>
    <w:p>
      <w:pPr>
        <w:spacing w:line="540" w:lineRule="exact"/>
        <w:jc w:val="center"/>
        <w:rPr>
          <w:rFonts w:hint="eastAsia" w:ascii="仿宋" w:hAnsi="仿宋" w:eastAsia="仿宋" w:cs="仿宋"/>
          <w:kern w:val="0"/>
          <w:sz w:val="30"/>
          <w:szCs w:val="30"/>
          <w:highlight w:val="none"/>
        </w:rPr>
      </w:pPr>
    </w:p>
    <w:p>
      <w:pPr>
        <w:spacing w:line="540" w:lineRule="exact"/>
        <w:rPr>
          <w:rFonts w:hint="eastAsia" w:ascii="仿宋" w:hAnsi="仿宋" w:eastAsia="仿宋" w:cs="仿宋"/>
          <w:kern w:val="0"/>
          <w:sz w:val="30"/>
          <w:szCs w:val="30"/>
          <w:highlight w:val="none"/>
        </w:rPr>
      </w:pPr>
    </w:p>
    <w:p>
      <w:pPr>
        <w:spacing w:line="700" w:lineRule="exact"/>
        <w:jc w:val="left"/>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项目名称：木卡姆艺术团综合业务楼运行补助</w:t>
      </w:r>
    </w:p>
    <w:p>
      <w:pPr>
        <w:spacing w:line="700" w:lineRule="exact"/>
        <w:jc w:val="left"/>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rPr>
        <w:t>实施单位（公章）：新疆艺术剧院木卡姆艺术团主管部门（公章）：新疆维吾尔自治区文化和旅游厅项目负责人（签章）：</w:t>
      </w:r>
      <w:r>
        <w:rPr>
          <w:rFonts w:hint="eastAsia" w:ascii="仿宋" w:hAnsi="仿宋" w:eastAsia="仿宋" w:cs="仿宋"/>
          <w:kern w:val="0"/>
          <w:sz w:val="30"/>
          <w:szCs w:val="30"/>
          <w:highlight w:val="none"/>
          <w:lang w:val="en-US" w:eastAsia="zh-CN"/>
        </w:rPr>
        <w:t>迪力下提·帕尔哈提</w:t>
      </w:r>
    </w:p>
    <w:p>
      <w:pPr>
        <w:spacing w:line="700" w:lineRule="exact"/>
        <w:ind w:firstLine="1200" w:firstLineChars="400"/>
        <w:jc w:val="left"/>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填报时间：</w:t>
      </w:r>
      <w:r>
        <w:rPr>
          <w:rFonts w:hint="eastAsia" w:ascii="仿宋" w:hAnsi="仿宋" w:eastAsia="仿宋" w:cs="仿宋"/>
          <w:kern w:val="0"/>
          <w:sz w:val="30"/>
          <w:szCs w:val="30"/>
          <w:highlight w:val="none"/>
          <w:lang w:val="en-US" w:eastAsia="zh-CN"/>
        </w:rPr>
        <w:t>2023</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4</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6</w:t>
      </w:r>
      <w:r>
        <w:rPr>
          <w:rFonts w:hint="eastAsia" w:ascii="仿宋" w:hAnsi="仿宋" w:eastAsia="仿宋" w:cs="仿宋"/>
          <w:kern w:val="0"/>
          <w:sz w:val="30"/>
          <w:szCs w:val="30"/>
          <w:highlight w:val="none"/>
        </w:rPr>
        <w:t>日</w:t>
      </w:r>
    </w:p>
    <w:p>
      <w:pPr>
        <w:spacing w:line="540" w:lineRule="exact"/>
        <w:jc w:val="center"/>
        <w:rPr>
          <w:rFonts w:hint="eastAsia" w:ascii="仿宋" w:hAnsi="仿宋" w:eastAsia="仿宋" w:cs="仿宋"/>
          <w:kern w:val="0"/>
          <w:sz w:val="30"/>
          <w:szCs w:val="30"/>
          <w:highlight w:val="none"/>
        </w:rPr>
      </w:pPr>
    </w:p>
    <w:p>
      <w:pPr>
        <w:spacing w:line="540" w:lineRule="exact"/>
        <w:rPr>
          <w:rStyle w:val="15"/>
          <w:rFonts w:hint="eastAsia" w:ascii="仿宋" w:hAnsi="仿宋" w:eastAsia="仿宋" w:cs="仿宋"/>
          <w:b w:val="0"/>
          <w:spacing w:val="-4"/>
          <w:sz w:val="30"/>
          <w:szCs w:val="30"/>
          <w:highlight w:val="none"/>
        </w:rPr>
      </w:pPr>
    </w:p>
    <w:p>
      <w:pPr>
        <w:spacing w:line="540" w:lineRule="exact"/>
        <w:ind w:firstLine="640"/>
        <w:rPr>
          <w:rStyle w:val="15"/>
          <w:rFonts w:hint="eastAsia" w:ascii="仿宋" w:hAnsi="仿宋" w:eastAsia="仿宋" w:cs="仿宋"/>
          <w:b w:val="0"/>
          <w:spacing w:val="-4"/>
          <w:sz w:val="30"/>
          <w:szCs w:val="30"/>
          <w:highlight w:val="none"/>
        </w:rPr>
      </w:pPr>
    </w:p>
    <w:p>
      <w:pPr>
        <w:spacing w:line="560" w:lineRule="exact"/>
        <w:rPr>
          <w:rFonts w:hint="eastAsia" w:ascii="仿宋" w:hAnsi="仿宋" w:eastAsia="仿宋" w:cs="仿宋"/>
          <w:bCs/>
          <w:sz w:val="30"/>
          <w:szCs w:val="30"/>
          <w:highlight w:val="none"/>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hint="eastAsia" w:ascii="汉仪仿宋S" w:hAnsi="汉仪仿宋S" w:eastAsia="汉仪仿宋S" w:cs="汉仪仿宋S"/>
          <w:bCs/>
          <w:sz w:val="30"/>
          <w:szCs w:val="30"/>
          <w:highlight w:val="none"/>
        </w:rPr>
      </w:pPr>
      <w:r>
        <w:rPr>
          <w:rFonts w:hint="eastAsia" w:eastAsia="黑体"/>
          <w:bCs/>
          <w:sz w:val="32"/>
          <w:szCs w:val="32"/>
        </w:rPr>
        <w:t>一、基本情况</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（一）项目概况</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1、项目背景</w:t>
      </w:r>
    </w:p>
    <w:p>
      <w:pPr>
        <w:spacing w:line="220" w:lineRule="atLeast"/>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财政拨付的运行经费可以有效的保障各部门正常运转，使办公、排练正常化，可以更好的发挥我区最大的艺术表演场所的功效。我团综合业务楼集办公、排练、演出为一体，房屋建筑面积16994.41平方米，运行经费200万元保障了我团综合业务楼的正常运转，为本单位的正常业务开展奠定了基础，围绕我团的中心工作提供保障服务功能，预算主要用于综合楼水、电、物业、电梯维护、电气维护、消防维护等基础设施方面的所需费用；保障大楼物业所需保洁、保安、监控、水、电、暖工的人员费用及维护材料；设施、设备、工具更新维护等。</w:t>
      </w:r>
    </w:p>
    <w:p>
      <w:pPr>
        <w:pStyle w:val="2"/>
        <w:numPr>
          <w:ilvl w:val="0"/>
          <w:numId w:val="1"/>
        </w:numPr>
        <w:spacing w:before="0" w:after="0" w:line="560" w:lineRule="exact"/>
        <w:ind w:firstLine="602" w:firstLineChars="200"/>
        <w:jc w:val="both"/>
        <w:rPr>
          <w:rFonts w:hint="eastAsia" w:ascii="仿宋" w:hAnsi="仿宋" w:eastAsia="仿宋" w:cs="仿宋"/>
          <w:kern w:val="2"/>
          <w:sz w:val="30"/>
          <w:szCs w:val="30"/>
          <w:highlight w:val="none"/>
        </w:rPr>
      </w:pPr>
      <w:r>
        <w:rPr>
          <w:rFonts w:hint="eastAsia" w:ascii="仿宋" w:hAnsi="仿宋" w:eastAsia="仿宋" w:cs="仿宋"/>
          <w:kern w:val="2"/>
          <w:sz w:val="30"/>
          <w:szCs w:val="30"/>
          <w:highlight w:val="none"/>
        </w:rPr>
        <w:t>项目主要内容：</w:t>
      </w:r>
    </w:p>
    <w:p>
      <w:pPr>
        <w:spacing w:line="220" w:lineRule="atLeas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项目主要内容：</w:t>
      </w:r>
      <w:r>
        <w:rPr>
          <w:rFonts w:hint="eastAsia" w:ascii="仿宋" w:hAnsi="仿宋" w:eastAsia="仿宋" w:cs="仿宋"/>
          <w:sz w:val="30"/>
          <w:szCs w:val="30"/>
          <w:highlight w:val="none"/>
        </w:rPr>
        <w:t>财政拨付的运行经费可以有效的保障各部门正常运转，使办公、排练正常化，可以更好的发挥我区最大的艺术表演场所的功效。</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3、资金投入和使用情况</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（1）资金投入情况</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该项目年初预算数200万元，全年预算数200万元，实际总投入200万元，该项目资金已全部落实到位，资金来源为财政拨款。</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（2）资金使用情况</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该项目年初预算数200万元，全年预算数200万元,，全年执行数200万元，预算执行率为100%，主要用于：综合业务楼水电和物业人员劳务费。</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（二）项目绩效目标</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1、总体目标</w:t>
      </w:r>
    </w:p>
    <w:p>
      <w:pPr>
        <w:spacing w:line="560" w:lineRule="exact"/>
        <w:ind w:firstLine="584" w:firstLineChars="200"/>
        <w:rPr>
          <w:rStyle w:val="15"/>
          <w:rFonts w:hint="eastAsia" w:ascii="仿宋" w:hAnsi="仿宋" w:eastAsia="仿宋" w:cs="仿宋"/>
          <w:b w:val="0"/>
          <w:bCs/>
          <w:spacing w:val="-4"/>
          <w:sz w:val="30"/>
          <w:szCs w:val="30"/>
          <w:highlight w:val="none"/>
        </w:rPr>
      </w:pPr>
      <w:r>
        <w:rPr>
          <w:rStyle w:val="15"/>
          <w:rFonts w:hint="eastAsia" w:ascii="仿宋" w:hAnsi="仿宋" w:eastAsia="仿宋" w:cs="仿宋"/>
          <w:b w:val="0"/>
          <w:bCs/>
          <w:spacing w:val="-4"/>
          <w:sz w:val="30"/>
          <w:szCs w:val="30"/>
          <w:highlight w:val="none"/>
        </w:rPr>
        <w:t>保障本团各部门正常运转，使办公、排练正常化，完成多项公益性演出任务，为各族人民提供高质量的文化艺术产品，保证各族群众充分享受文化艺术权益，充分发挥重点艺术表演团体在建设社会主义先进文化的导向作用、代表作用、示范作用。我团综合业务楼集办公、排练、演出为一体，房屋建筑面积16994.41平方米，运行经费200万元，保障本团综合楼运行所需水、电、电气维护、消防维护、配电维护、物业所需保洁、保安、监控、物业管理、设备维修人员费用、维护材料经费、日常基础设施方面的费用，基础设施设备维修改造，日常办公各项基本支出费用等。在大楼正常运转得到保障的前提下，我团各部门正常发挥其职能，全团干部职工共同努力，互相配合，紧紧围绕社会稳定和长治久安这一新疆工作总目标，突出剧团中心工作，在文艺创作演出，基础设施建设、综合治理及安全生产、对外文化交流等方面均取得了显著成绩。</w:t>
      </w:r>
    </w:p>
    <w:p>
      <w:pPr>
        <w:spacing w:line="560" w:lineRule="exact"/>
        <w:ind w:firstLine="600" w:firstLineChars="200"/>
        <w:rPr>
          <w:rFonts w:hint="eastAsia" w:ascii="仿宋" w:hAnsi="仿宋" w:eastAsia="仿宋" w:cs="仿宋"/>
          <w:color w:val="FF0000"/>
          <w:sz w:val="30"/>
          <w:szCs w:val="30"/>
          <w:highlight w:val="none"/>
          <w:lang w:val="en-US" w:eastAsia="zh-CN"/>
        </w:rPr>
      </w:pPr>
      <w:r>
        <w:rPr>
          <w:rFonts w:hint="eastAsia" w:ascii="仿宋" w:hAnsi="仿宋" w:eastAsia="仿宋" w:cs="仿宋"/>
          <w:sz w:val="30"/>
          <w:szCs w:val="30"/>
          <w:highlight w:val="none"/>
        </w:rPr>
        <w:t>2、阶段性目标</w:t>
      </w:r>
    </w:p>
    <w:p>
      <w:pPr>
        <w:spacing w:line="220" w:lineRule="atLeas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主要用于综合楼水、电、物业、电梯维护、电气维护、消防维护等基础设施方面的所需费用；保障大楼物业所需保洁、保安、监控、水、电、暖工的人员费用及维护材料；设施、设备、工具更新维护等。</w:t>
      </w:r>
    </w:p>
    <w:p>
      <w:pPr>
        <w:spacing w:line="560" w:lineRule="exact"/>
        <w:ind w:firstLine="640" w:firstLineChars="200"/>
        <w:rPr>
          <w:rFonts w:hint="eastAsia" w:eastAsia="黑体"/>
          <w:bCs/>
          <w:sz w:val="32"/>
          <w:szCs w:val="32"/>
        </w:rPr>
      </w:pPr>
      <w:r>
        <w:rPr>
          <w:rFonts w:hint="eastAsia" w:eastAsia="黑体"/>
          <w:bCs/>
          <w:sz w:val="32"/>
          <w:szCs w:val="32"/>
        </w:rPr>
        <w:t>二、绩效评价工作开展情况</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（一）绩效评价目的、对象和范围</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1、绩效评价的目的</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pPr>
        <w:numPr>
          <w:ilvl w:val="0"/>
          <w:numId w:val="2"/>
        </w:num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项目在实施前向项目负责人提供财政支出绩效方面的资金管理信息，促进项目支出严格按照资金管理规定进行。</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（2）项目绩效管理财政支出运行提供及时、有效的信息。</w:t>
      </w:r>
    </w:p>
    <w:p>
      <w:pPr>
        <w:pStyle w:val="18"/>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综合来看，通过开展有效的财政支出绩效评价管理，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2、绩效评价的对象</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木卡姆艺术团综合业务楼运行补助项目所包含的全部项目内容。</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3、绩效评价的范围</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本次评价从项目决策（包括绩效目标、决策过程）、项目管理（包括项目资金、项目实施）、项目产出（包括项目产出数量、产出质量、产出时效和产出成本）项目效益四个维度对木卡姆艺术团综合业务楼运行补助项目进行评价，评价核心为专项资金的支出完成情况和效果。</w:t>
      </w:r>
    </w:p>
    <w:p>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（二）绩效评价原则、评价指标体系（详情见表1）、评价方法、评价标准。</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1、绩效评价原则</w:t>
      </w:r>
    </w:p>
    <w:p>
      <w:pPr>
        <w:spacing w:line="560" w:lineRule="exact"/>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本次项目绩效评价遵循以下基本原则：</w:t>
      </w:r>
    </w:p>
    <w:p>
      <w:pPr>
        <w:pStyle w:val="2"/>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（1）科学公正。绩效评价应当运用科学合理的方法，按照规范的程序，对项目绩效进行客观、公正的反映。</w:t>
      </w:r>
    </w:p>
    <w:p>
      <w:pPr>
        <w:pStyle w:val="2"/>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（3）激励约束。绩效评价结果应与预算安排、政策调整、改进管理实质性挂钩，体现奖优罚劣和激励相容导向，有效要安排、低效要压减、无效要问责。</w:t>
      </w:r>
    </w:p>
    <w:p>
      <w:pPr>
        <w:pStyle w:val="2"/>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（4）公开透明。绩效评价结果应依法依规公开，并自觉接受社会监督。</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2、评价指标体系</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绩效评价框架是开展绩效评价的核心。绩效评价框架包括评价准则、关键评价问题、评价指标、数据来源、数据收集方法等。指标体系建立过程如下：</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（1）确定评价指标</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（3）确定指标标准值</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668" w:firstLineChars="200"/>
        <w:jc w:val="both"/>
        <w:rPr>
          <w:rFonts w:hint="eastAsia" w:ascii="仿宋" w:hAnsi="仿宋" w:eastAsia="仿宋" w:cs="仿宋"/>
          <w:b w:val="0"/>
          <w:bCs w:val="0"/>
          <w:color w:val="000000"/>
          <w:spacing w:val="17"/>
          <w:kern w:val="2"/>
          <w:sz w:val="30"/>
          <w:szCs w:val="30"/>
          <w:highlight w:val="none"/>
        </w:rPr>
      </w:pPr>
      <w:r>
        <w:rPr>
          <w:rFonts w:hint="eastAsia" w:ascii="仿宋" w:hAnsi="仿宋" w:eastAsia="仿宋" w:cs="仿宋"/>
          <w:b w:val="0"/>
          <w:bCs w:val="0"/>
          <w:color w:val="000000"/>
          <w:spacing w:val="17"/>
          <w:kern w:val="2"/>
          <w:sz w:val="30"/>
          <w:szCs w:val="30"/>
          <w:highlight w:val="none"/>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668" w:firstLineChars="200"/>
        <w:jc w:val="both"/>
        <w:outlineLvl w:val="9"/>
        <w:rPr>
          <w:rFonts w:hint="eastAsia" w:ascii="仿宋" w:hAnsi="仿宋" w:eastAsia="仿宋" w:cs="仿宋"/>
          <w:b w:val="0"/>
          <w:bCs w:val="0"/>
          <w:color w:val="000000"/>
          <w:spacing w:val="17"/>
          <w:sz w:val="30"/>
          <w:szCs w:val="30"/>
          <w:highlight w:val="none"/>
        </w:rPr>
      </w:pPr>
      <w:r>
        <w:rPr>
          <w:rFonts w:hint="eastAsia" w:ascii="仿宋" w:hAnsi="仿宋" w:eastAsia="仿宋" w:cs="仿宋"/>
          <w:b w:val="0"/>
          <w:bCs w:val="0"/>
          <w:color w:val="000000"/>
          <w:spacing w:val="17"/>
          <w:sz w:val="30"/>
          <w:szCs w:val="30"/>
          <w:highlight w:val="none"/>
        </w:rPr>
        <w:t>具体评价指标体系详情见附件1</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3、绩效评价方法</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绩效评价从项目决策、项目过程、项目产出、项目效益四个维度进行评价。评价对象为项目目标实施情况，评价核心为资金的支出完成情况和项目的产出效益。</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本次评价指标中，既有定性指标又有定量指标，各类指标因考核内容不同和客观标准不同存在较大差异，因此核定具体指标时采用了不同方法，具体评价方法如下：</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（1）比较法</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通过对绩效目标与实施效果、历史与当期情况，综合分析绩效目标实现程度。对</w:t>
      </w:r>
      <w:r>
        <w:rPr>
          <w:rFonts w:hint="eastAsia" w:ascii="仿宋" w:hAnsi="仿宋" w:eastAsia="仿宋" w:cs="仿宋"/>
          <w:sz w:val="30"/>
          <w:szCs w:val="30"/>
          <w:highlight w:val="none"/>
        </w:rPr>
        <w:t>项目</w:t>
      </w:r>
      <w:r>
        <w:rPr>
          <w:rFonts w:hint="eastAsia" w:ascii="仿宋" w:hAnsi="仿宋" w:eastAsia="仿宋" w:cs="仿宋"/>
          <w:color w:val="000000"/>
          <w:spacing w:val="17"/>
          <w:sz w:val="30"/>
          <w:szCs w:val="30"/>
          <w:highlight w:val="none"/>
        </w:rPr>
        <w:t>最终验收情况与年度绩效目标对比、预算资金执行情况等相关因素进行比较。</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（2）因素分析法</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通过综合分析影响绩效目标实现、实施效果的内外因素，评价绩效目标实现程度。通过对</w:t>
      </w:r>
      <w:r>
        <w:rPr>
          <w:rFonts w:hint="eastAsia" w:ascii="仿宋" w:hAnsi="仿宋" w:eastAsia="仿宋" w:cs="仿宋"/>
          <w:sz w:val="30"/>
          <w:szCs w:val="30"/>
          <w:highlight w:val="none"/>
        </w:rPr>
        <w:t>项目</w:t>
      </w:r>
      <w:r>
        <w:rPr>
          <w:rFonts w:hint="eastAsia" w:ascii="仿宋" w:hAnsi="仿宋" w:eastAsia="仿宋" w:cs="仿宋"/>
          <w:color w:val="000000"/>
          <w:spacing w:val="17"/>
          <w:sz w:val="30"/>
          <w:szCs w:val="30"/>
          <w:highlight w:val="none"/>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4、评价标准</w:t>
      </w:r>
    </w:p>
    <w:p>
      <w:pPr>
        <w:spacing w:line="560" w:lineRule="exact"/>
        <w:ind w:firstLine="640"/>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绩效评价标准通常包括计划标准、行业标准、历史标准等，用于对绩效指标完成情况进行比较、分析、评价。本次</w:t>
      </w:r>
      <w:r>
        <w:rPr>
          <w:rFonts w:hint="eastAsia" w:ascii="仿宋" w:hAnsi="仿宋" w:eastAsia="仿宋" w:cs="仿宋"/>
          <w:color w:val="auto"/>
          <w:sz w:val="30"/>
          <w:szCs w:val="30"/>
          <w:highlight w:val="none"/>
        </w:rPr>
        <w:t>评价主要采用了</w:t>
      </w:r>
      <w:r>
        <w:rPr>
          <w:rFonts w:hint="eastAsia" w:ascii="仿宋" w:hAnsi="仿宋" w:eastAsia="仿宋" w:cs="仿宋"/>
          <w:b/>
          <w:bCs/>
          <w:sz w:val="30"/>
          <w:szCs w:val="30"/>
          <w:highlight w:val="none"/>
        </w:rPr>
        <w:t>历史标准</w:t>
      </w:r>
      <w:r>
        <w:rPr>
          <w:rFonts w:hint="eastAsia" w:ascii="仿宋" w:hAnsi="仿宋" w:eastAsia="仿宋" w:cs="仿宋"/>
          <w:color w:val="auto"/>
          <w:sz w:val="30"/>
          <w:szCs w:val="30"/>
          <w:highlight w:val="none"/>
        </w:rPr>
        <w:t>。</w:t>
      </w:r>
    </w:p>
    <w:p>
      <w:pPr>
        <w:spacing w:line="560" w:lineRule="exact"/>
        <w:ind w:firstLine="640"/>
        <w:rPr>
          <w:rFonts w:hint="eastAsia" w:ascii="仿宋" w:hAnsi="仿宋" w:eastAsia="仿宋" w:cs="仿宋"/>
          <w:sz w:val="30"/>
          <w:szCs w:val="30"/>
          <w:highlight w:val="none"/>
        </w:rPr>
      </w:pPr>
      <w:bookmarkStart w:id="0" w:name="_Toc31464"/>
      <w:bookmarkStart w:id="1" w:name="_Toc17882"/>
      <w:r>
        <w:rPr>
          <w:rFonts w:hint="eastAsia" w:ascii="仿宋" w:hAnsi="仿宋" w:eastAsia="仿宋" w:cs="仿宋"/>
          <w:b/>
          <w:bCs/>
          <w:sz w:val="30"/>
          <w:szCs w:val="30"/>
          <w:highlight w:val="none"/>
        </w:rPr>
        <w:t>计划标准：</w:t>
      </w:r>
      <w:r>
        <w:rPr>
          <w:rFonts w:hint="eastAsia" w:ascii="仿宋" w:hAnsi="仿宋" w:eastAsia="仿宋" w:cs="仿宋"/>
          <w:sz w:val="30"/>
          <w:szCs w:val="30"/>
          <w:highlight w:val="none"/>
        </w:rPr>
        <w:t>指以预先制定的目标、计划、预算、定额等作为评价标准。</w:t>
      </w:r>
      <w:bookmarkEnd w:id="0"/>
      <w:bookmarkEnd w:id="1"/>
    </w:p>
    <w:p>
      <w:pPr>
        <w:spacing w:line="560" w:lineRule="exact"/>
        <w:ind w:firstLine="640"/>
        <w:rPr>
          <w:rFonts w:hint="eastAsia" w:ascii="仿宋" w:hAnsi="仿宋" w:eastAsia="仿宋" w:cs="仿宋"/>
          <w:sz w:val="30"/>
          <w:szCs w:val="30"/>
          <w:highlight w:val="none"/>
        </w:rPr>
      </w:pPr>
      <w:bookmarkStart w:id="2" w:name="_Toc2318"/>
      <w:bookmarkStart w:id="3" w:name="_Toc5633"/>
      <w:r>
        <w:rPr>
          <w:rFonts w:hint="eastAsia" w:ascii="仿宋" w:hAnsi="仿宋" w:eastAsia="仿宋" w:cs="仿宋"/>
          <w:b/>
          <w:bCs/>
          <w:sz w:val="30"/>
          <w:szCs w:val="30"/>
          <w:highlight w:val="none"/>
        </w:rPr>
        <w:t>行业标准：</w:t>
      </w:r>
      <w:r>
        <w:rPr>
          <w:rFonts w:hint="eastAsia" w:ascii="仿宋" w:hAnsi="仿宋" w:eastAsia="仿宋" w:cs="仿宋"/>
          <w:sz w:val="30"/>
          <w:szCs w:val="30"/>
          <w:highlight w:val="none"/>
        </w:rPr>
        <w:t>指参照国家公布的行业指标数据制定的评价标准。</w:t>
      </w:r>
      <w:bookmarkEnd w:id="2"/>
      <w:bookmarkEnd w:id="3"/>
    </w:p>
    <w:p>
      <w:pPr>
        <w:spacing w:line="560" w:lineRule="exact"/>
        <w:ind w:firstLine="640"/>
        <w:rPr>
          <w:rFonts w:hint="eastAsia" w:ascii="仿宋" w:hAnsi="仿宋" w:eastAsia="仿宋" w:cs="仿宋"/>
          <w:sz w:val="30"/>
          <w:szCs w:val="30"/>
          <w:highlight w:val="none"/>
        </w:rPr>
      </w:pPr>
      <w:bookmarkStart w:id="4" w:name="_Toc430"/>
      <w:bookmarkStart w:id="5" w:name="_Toc16028"/>
      <w:r>
        <w:rPr>
          <w:rFonts w:hint="eastAsia" w:ascii="仿宋" w:hAnsi="仿宋" w:eastAsia="仿宋" w:cs="仿宋"/>
          <w:b/>
          <w:bCs/>
          <w:sz w:val="30"/>
          <w:szCs w:val="30"/>
          <w:highlight w:val="none"/>
        </w:rPr>
        <w:t>历史标准：</w:t>
      </w:r>
      <w:r>
        <w:rPr>
          <w:rFonts w:hint="eastAsia" w:ascii="仿宋" w:hAnsi="仿宋" w:eastAsia="仿宋" w:cs="仿宋"/>
          <w:sz w:val="30"/>
          <w:szCs w:val="30"/>
          <w:highlight w:val="none"/>
        </w:rPr>
        <w:t>指参照历史数据制定的评价标准，为体现绩效改进的原则，在可实现的条件下应当确定相对较高的评价标准。</w:t>
      </w:r>
      <w:bookmarkEnd w:id="4"/>
      <w:bookmarkEnd w:id="5"/>
    </w:p>
    <w:p>
      <w:pPr>
        <w:pStyle w:val="2"/>
        <w:numPr>
          <w:ilvl w:val="0"/>
          <w:numId w:val="3"/>
        </w:numPr>
        <w:spacing w:before="0" w:after="0" w:line="560" w:lineRule="exact"/>
        <w:ind w:firstLine="670" w:firstLineChars="200"/>
        <w:jc w:val="both"/>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1.</w:t>
      </w:r>
      <w:r>
        <w:rPr>
          <w:rFonts w:hint="eastAsia" w:ascii="仿宋" w:hAnsi="仿宋" w:eastAsia="仿宋" w:cs="仿宋"/>
          <w:bCs/>
          <w:sz w:val="30"/>
          <w:szCs w:val="30"/>
          <w:highlight w:val="none"/>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2.</w:t>
      </w:r>
      <w:r>
        <w:rPr>
          <w:rFonts w:hint="eastAsia" w:ascii="仿宋" w:hAnsi="仿宋" w:eastAsia="仿宋" w:cs="仿宋"/>
          <w:bCs/>
          <w:sz w:val="30"/>
          <w:szCs w:val="30"/>
          <w:highlight w:val="none"/>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highlight w:val="none"/>
        </w:rPr>
      </w:pPr>
      <w:r>
        <w:rPr>
          <w:rFonts w:hint="eastAsia" w:ascii="仿宋" w:hAnsi="仿宋" w:eastAsia="仿宋" w:cs="仿宋"/>
          <w:bCs/>
          <w:sz w:val="30"/>
          <w:szCs w:val="30"/>
          <w:highlight w:val="none"/>
          <w:lang w:val="en-US" w:eastAsia="zh-CN"/>
        </w:rPr>
        <w:t>3.</w:t>
      </w:r>
      <w:r>
        <w:rPr>
          <w:rFonts w:hint="eastAsia" w:ascii="仿宋" w:hAnsi="仿宋" w:eastAsia="仿宋" w:cs="仿宋"/>
          <w:bCs/>
          <w:sz w:val="30"/>
          <w:szCs w:val="30"/>
          <w:highlight w:val="none"/>
        </w:rPr>
        <w:t>分析评价。根据收集梳理的资料围绕项目立项、资金落实、业务管理、财务管理、项目产出、项目效益等内容，对照已确定的绩效评价指标进行详细全面的分析评价，逐项打分并形成绩效评价最终结果。</w:t>
      </w:r>
    </w:p>
    <w:p>
      <w:pPr>
        <w:spacing w:line="560" w:lineRule="exact"/>
        <w:ind w:firstLine="640" w:firstLineChars="200"/>
        <w:rPr>
          <w:rFonts w:hint="eastAsia" w:eastAsia="黑体"/>
          <w:bCs/>
          <w:sz w:val="32"/>
          <w:szCs w:val="32"/>
        </w:rPr>
      </w:pPr>
      <w:r>
        <w:rPr>
          <w:rFonts w:hint="eastAsia" w:eastAsia="黑体"/>
          <w:bCs/>
          <w:sz w:val="32"/>
          <w:szCs w:val="32"/>
          <w:lang w:eastAsia="zh-CN"/>
        </w:rPr>
        <w:t>三、</w:t>
      </w:r>
      <w:r>
        <w:rPr>
          <w:rFonts w:hint="eastAsia" w:eastAsia="黑体"/>
          <w:bCs/>
          <w:sz w:val="32"/>
          <w:szCs w:val="32"/>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02"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评价情况</w:t>
      </w:r>
    </w:p>
    <w:p>
      <w:pPr>
        <w:shd w:val="clear"/>
        <w:spacing w:line="600" w:lineRule="exact"/>
        <w:ind w:firstLine="600" w:firstLineChars="200"/>
        <w:outlineLvl w:val="0"/>
        <w:rPr>
          <w:rFonts w:hint="eastAsia" w:ascii="仿宋" w:hAnsi="仿宋" w:eastAsia="仿宋" w:cs="仿宋"/>
          <w:b w:val="0"/>
          <w:bCs w:val="0"/>
          <w:kern w:val="28"/>
          <w:sz w:val="30"/>
          <w:szCs w:val="30"/>
          <w:highlight w:val="none"/>
          <w:lang w:val="en-US" w:eastAsia="zh-CN" w:bidi="ar-SA"/>
        </w:rPr>
      </w:pPr>
      <w:r>
        <w:rPr>
          <w:rFonts w:hint="eastAsia" w:ascii="仿宋" w:hAnsi="仿宋" w:eastAsia="仿宋" w:cs="仿宋"/>
          <w:b w:val="0"/>
          <w:bCs w:val="0"/>
          <w:kern w:val="28"/>
          <w:sz w:val="30"/>
          <w:szCs w:val="30"/>
          <w:highlight w:val="none"/>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02"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评价结论</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lang w:eastAsia="zh-CN"/>
        </w:rPr>
      </w:pPr>
      <w:r>
        <w:rPr>
          <w:rFonts w:hint="eastAsia" w:ascii="仿宋" w:hAnsi="仿宋" w:eastAsia="仿宋" w:cs="仿宋"/>
          <w:b w:val="0"/>
          <w:bCs w:val="0"/>
          <w:sz w:val="30"/>
          <w:szCs w:val="30"/>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仿宋" w:hAnsi="仿宋" w:eastAsia="仿宋" w:cs="仿宋"/>
          <w:b w:val="0"/>
          <w:bCs w:val="0"/>
          <w:sz w:val="30"/>
          <w:szCs w:val="30"/>
          <w:highlight w:val="none"/>
          <w:lang w:val="en-US" w:eastAsia="zh-CN"/>
        </w:rPr>
        <w:t>99.86</w:t>
      </w:r>
      <w:r>
        <w:rPr>
          <w:rFonts w:hint="eastAsia" w:ascii="仿宋" w:hAnsi="仿宋" w:eastAsia="仿宋" w:cs="仿宋"/>
          <w:b w:val="0"/>
          <w:bCs w:val="0"/>
          <w:sz w:val="30"/>
          <w:szCs w:val="30"/>
          <w:highlight w:val="none"/>
        </w:rPr>
        <w:t>分，属于“优”。其中，项目决策类指标权重为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分，得分率为</w:t>
      </w:r>
      <w:r>
        <w:rPr>
          <w:rFonts w:hint="eastAsia" w:ascii="仿宋" w:hAnsi="仿宋" w:eastAsia="仿宋" w:cs="仿宋"/>
          <w:b w:val="0"/>
          <w:bCs w:val="0"/>
          <w:sz w:val="30"/>
          <w:szCs w:val="30"/>
          <w:highlight w:val="none"/>
          <w:lang w:val="en-US" w:eastAsia="zh-CN"/>
        </w:rPr>
        <w:t>100</w:t>
      </w:r>
      <w:r>
        <w:rPr>
          <w:rFonts w:hint="eastAsia" w:ascii="仿宋" w:hAnsi="仿宋" w:eastAsia="仿宋" w:cs="仿宋"/>
          <w:b w:val="0"/>
          <w:bCs w:val="0"/>
          <w:sz w:val="30"/>
          <w:szCs w:val="30"/>
          <w:highlight w:val="none"/>
        </w:rPr>
        <w:t>%。项目过程类指标权重为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分，得分率为</w:t>
      </w:r>
      <w:r>
        <w:rPr>
          <w:rFonts w:hint="eastAsia" w:ascii="仿宋" w:hAnsi="仿宋" w:eastAsia="仿宋" w:cs="仿宋"/>
          <w:b w:val="0"/>
          <w:bCs w:val="0"/>
          <w:sz w:val="30"/>
          <w:szCs w:val="30"/>
          <w:highlight w:val="none"/>
          <w:lang w:val="en-US" w:eastAsia="zh-CN"/>
        </w:rPr>
        <w:t>100</w:t>
      </w:r>
      <w:r>
        <w:rPr>
          <w:rFonts w:hint="eastAsia" w:ascii="仿宋" w:hAnsi="仿宋" w:eastAsia="仿宋" w:cs="仿宋"/>
          <w:b w:val="0"/>
          <w:bCs w:val="0"/>
          <w:sz w:val="30"/>
          <w:szCs w:val="30"/>
          <w:highlight w:val="none"/>
        </w:rPr>
        <w:t>%。项目产出类指标权重为</w:t>
      </w:r>
      <w:r>
        <w:rPr>
          <w:rFonts w:hint="eastAsia" w:ascii="仿宋" w:hAnsi="仿宋" w:eastAsia="仿宋" w:cs="仿宋"/>
          <w:b w:val="0"/>
          <w:bCs w:val="0"/>
          <w:sz w:val="30"/>
          <w:szCs w:val="30"/>
          <w:highlight w:val="none"/>
          <w:lang w:val="en-US" w:eastAsia="zh-CN"/>
        </w:rPr>
        <w:t>40</w:t>
      </w:r>
      <w:r>
        <w:rPr>
          <w:rFonts w:hint="eastAsia" w:ascii="仿宋" w:hAnsi="仿宋" w:eastAsia="仿宋" w:cs="仿宋"/>
          <w:b w:val="0"/>
          <w:bCs w:val="0"/>
          <w:sz w:val="30"/>
          <w:szCs w:val="30"/>
          <w:highlight w:val="none"/>
        </w:rPr>
        <w:t>分，得分为</w:t>
      </w:r>
      <w:r>
        <w:rPr>
          <w:rFonts w:hint="eastAsia" w:ascii="仿宋" w:hAnsi="仿宋" w:eastAsia="仿宋" w:cs="仿宋"/>
          <w:b w:val="0"/>
          <w:bCs w:val="0"/>
          <w:sz w:val="30"/>
          <w:szCs w:val="30"/>
          <w:highlight w:val="none"/>
          <w:lang w:val="en-US" w:eastAsia="zh-CN"/>
        </w:rPr>
        <w:t>39.86</w:t>
      </w:r>
      <w:r>
        <w:rPr>
          <w:rFonts w:hint="eastAsia" w:ascii="仿宋" w:hAnsi="仿宋" w:eastAsia="仿宋" w:cs="仿宋"/>
          <w:b w:val="0"/>
          <w:bCs w:val="0"/>
          <w:sz w:val="30"/>
          <w:szCs w:val="30"/>
          <w:highlight w:val="none"/>
        </w:rPr>
        <w:t>分，得分率为</w:t>
      </w:r>
      <w:r>
        <w:rPr>
          <w:rFonts w:hint="eastAsia" w:ascii="仿宋" w:hAnsi="仿宋" w:eastAsia="仿宋" w:cs="仿宋"/>
          <w:b w:val="0"/>
          <w:bCs w:val="0"/>
          <w:sz w:val="30"/>
          <w:szCs w:val="30"/>
          <w:highlight w:val="none"/>
          <w:lang w:val="en-US" w:eastAsia="zh-CN"/>
        </w:rPr>
        <w:t>99.65</w:t>
      </w:r>
      <w:r>
        <w:rPr>
          <w:rFonts w:hint="eastAsia" w:ascii="仿宋" w:hAnsi="仿宋" w:eastAsia="仿宋" w:cs="仿宋"/>
          <w:b w:val="0"/>
          <w:bCs w:val="0"/>
          <w:sz w:val="30"/>
          <w:szCs w:val="30"/>
          <w:highlight w:val="none"/>
        </w:rPr>
        <w:t>%。项目效益类指标权重为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分，得分率为</w:t>
      </w:r>
      <w:r>
        <w:rPr>
          <w:rFonts w:hint="eastAsia" w:ascii="仿宋" w:hAnsi="仿宋" w:eastAsia="仿宋" w:cs="仿宋"/>
          <w:b w:val="0"/>
          <w:bCs w:val="0"/>
          <w:sz w:val="30"/>
          <w:szCs w:val="30"/>
          <w:highlight w:val="none"/>
          <w:lang w:val="en-US" w:eastAsia="zh-CN"/>
        </w:rPr>
        <w:t>100</w:t>
      </w:r>
      <w:r>
        <w:rPr>
          <w:rFonts w:hint="eastAsia" w:ascii="仿宋" w:hAnsi="仿宋" w:eastAsia="仿宋" w:cs="仿宋"/>
          <w:b w:val="0"/>
          <w:bCs w:val="0"/>
          <w:sz w:val="30"/>
          <w:szCs w:val="30"/>
          <w:highlight w:val="none"/>
        </w:rPr>
        <w:t>%。具体打分情况详见：附件1综合评分表</w:t>
      </w:r>
      <w:r>
        <w:rPr>
          <w:rFonts w:hint="eastAsia" w:ascii="仿宋" w:hAnsi="仿宋" w:eastAsia="仿宋" w:cs="仿宋"/>
          <w:b w:val="0"/>
          <w:bCs w:val="0"/>
          <w:sz w:val="30"/>
          <w:szCs w:val="30"/>
          <w:highlight w:val="none"/>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39.86</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color w:val="000000"/>
                <w:sz w:val="30"/>
                <w:szCs w:val="30"/>
                <w:highlight w:val="none"/>
                <w:lang w:val="en-US" w:eastAsia="zh-CN"/>
              </w:rPr>
            </w:pPr>
            <w:r>
              <w:rPr>
                <w:rFonts w:hint="eastAsia" w:ascii="仿宋" w:hAnsi="仿宋" w:eastAsia="仿宋" w:cs="仿宋"/>
                <w:b/>
                <w:bCs/>
                <w:color w:val="000000"/>
                <w:sz w:val="30"/>
                <w:szCs w:val="30"/>
                <w:highlight w:val="none"/>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color w:val="000000"/>
                <w:sz w:val="30"/>
                <w:szCs w:val="30"/>
                <w:highlight w:val="none"/>
                <w:lang w:val="en-US" w:eastAsia="zh-CN"/>
              </w:rPr>
            </w:pPr>
            <w:r>
              <w:rPr>
                <w:rFonts w:hint="eastAsia" w:ascii="仿宋" w:hAnsi="仿宋" w:eastAsia="仿宋" w:cs="仿宋"/>
                <w:b/>
                <w:bCs/>
                <w:color w:val="000000"/>
                <w:sz w:val="30"/>
                <w:szCs w:val="30"/>
                <w:highlight w:val="none"/>
                <w:lang w:val="en-US" w:eastAsia="zh-CN"/>
              </w:rPr>
              <w:t>99.86</w:t>
            </w:r>
          </w:p>
        </w:tc>
      </w:tr>
    </w:tbl>
    <w:p>
      <w:pPr>
        <w:spacing w:line="560" w:lineRule="exact"/>
        <w:ind w:firstLine="640" w:firstLineChars="200"/>
        <w:rPr>
          <w:rFonts w:hint="eastAsia" w:eastAsia="黑体"/>
          <w:bCs/>
          <w:sz w:val="32"/>
          <w:szCs w:val="32"/>
        </w:rPr>
      </w:pPr>
      <w:r>
        <w:rPr>
          <w:rFonts w:hint="eastAsia" w:eastAsia="黑体"/>
          <w:bCs/>
          <w:sz w:val="32"/>
          <w:szCs w:val="32"/>
        </w:rPr>
        <w:t>四、绩效评价指标分析</w:t>
      </w:r>
    </w:p>
    <w:p>
      <w:pPr>
        <w:pStyle w:val="2"/>
        <w:spacing w:before="0" w:after="0" w:line="560" w:lineRule="exact"/>
        <w:ind w:firstLine="602"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（一）项目决策情况</w:t>
      </w:r>
    </w:p>
    <w:p>
      <w:pPr>
        <w:shd w:val="clear"/>
        <w:spacing w:line="600" w:lineRule="exact"/>
        <w:ind w:firstLine="600" w:firstLineChars="200"/>
        <w:outlineLvl w:val="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1.项目立项</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（1）立项依据充分性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（2）立项程序规范性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项目申请、设立过程符合相关要求，</w:t>
      </w:r>
      <w:r>
        <w:rPr>
          <w:rFonts w:hint="eastAsia" w:ascii="仿宋" w:hAnsi="仿宋" w:eastAsia="仿宋" w:cs="仿宋"/>
          <w:sz w:val="30"/>
          <w:szCs w:val="30"/>
          <w:highlight w:val="none"/>
          <w:lang w:eastAsia="zh-Hans"/>
        </w:rPr>
        <w:t>严格按照审批流程准备符合要求的文件、材料；</w:t>
      </w:r>
      <w:r>
        <w:rPr>
          <w:rFonts w:hint="eastAsia" w:ascii="仿宋" w:hAnsi="仿宋" w:eastAsia="仿宋" w:cs="仿宋"/>
          <w:sz w:val="30"/>
          <w:szCs w:val="30"/>
          <w:highlight w:val="none"/>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2.绩效目标</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（1）绩效目标合理性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Hans"/>
        </w:rPr>
        <w:t>年初结合实际工作内容</w:t>
      </w:r>
      <w:r>
        <w:rPr>
          <w:rFonts w:hint="eastAsia" w:ascii="仿宋" w:hAnsi="仿宋" w:eastAsia="仿宋" w:cs="仿宋"/>
          <w:sz w:val="30"/>
          <w:szCs w:val="30"/>
          <w:highlight w:val="none"/>
          <w:lang w:val="en-US" w:eastAsia="zh-CN"/>
        </w:rPr>
        <w:t>设定绩效目标</w:t>
      </w:r>
      <w:r>
        <w:rPr>
          <w:rFonts w:hint="eastAsia" w:ascii="仿宋" w:hAnsi="仿宋" w:eastAsia="仿宋" w:cs="仿宋"/>
          <w:sz w:val="30"/>
          <w:szCs w:val="30"/>
          <w:highlight w:val="none"/>
          <w:lang w:val="en-US" w:eastAsia="zh-Hans"/>
        </w:rPr>
        <w:t>，绩效目标</w:t>
      </w:r>
      <w:r>
        <w:rPr>
          <w:rFonts w:hint="eastAsia" w:ascii="仿宋" w:hAnsi="仿宋" w:eastAsia="仿宋" w:cs="仿宋"/>
          <w:sz w:val="30"/>
          <w:szCs w:val="30"/>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（2）绩效指标明确性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3.资金投入</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（1）预算编制科学性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预算编制经过科学论证，提供充分的测算依据佐证资料，预算内容与项目内容相匹配。项目投资额与工作任务相匹配。</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（2）资金分配合理性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资金分配额度与项目单位实际工作内容相适应，资金分配额度合理，资金分配依据充分。</w:t>
      </w:r>
    </w:p>
    <w:p>
      <w:pPr>
        <w:pStyle w:val="2"/>
        <w:numPr>
          <w:ilvl w:val="0"/>
          <w:numId w:val="4"/>
        </w:numPr>
        <w:spacing w:before="0" w:after="0" w:line="560" w:lineRule="exact"/>
        <w:ind w:firstLine="602"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项目过程情况</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项目过程类指标包括资金管理和组织实施两方面的内容，由5个三级指标构成，权重分值为20分，实际得分20分，得分率为100%。</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1.资金管理</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（1）资金到位率</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本项目总投资200万元，财政资金及时足额到位，到位率100%，预算资金按计划进度执行。</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（2）预算执行率</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预算编制较为详细，项目资金支出总体能够按照预算执行，预算资金支出200万元，预算执行率为100%。</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（3）资金使用合规性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2.组织实施</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（1）管理制度健全性</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（2）制度执行有效性</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对资金使用的合法合规性进行监督，年末对资金使用效果进行评价。项目管理、实施人员落实到位，有效按照计划执行。项目执行情况等资料齐全，项目相关手续完备，及时进行归档。</w:t>
      </w:r>
    </w:p>
    <w:p>
      <w:pPr>
        <w:pStyle w:val="11"/>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项目产出</w:t>
      </w:r>
      <w:r>
        <w:rPr>
          <w:rFonts w:hint="eastAsia" w:ascii="仿宋" w:hAnsi="仿宋" w:eastAsia="仿宋" w:cs="仿宋"/>
          <w:b/>
          <w:bCs/>
          <w:sz w:val="30"/>
          <w:szCs w:val="30"/>
          <w:highlight w:val="none"/>
          <w:lang w:val="en-US" w:eastAsia="zh-CN"/>
        </w:rPr>
        <w:t>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项目产出类指标包括产出数量、产出质量、产出时效、产出成本四方面的内容，由4个三级指标构成，权重分为40分，实际得分39.86分，得分率为99.72%。具体产出指标完成情况如下：</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 1 \* GB3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①</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t>数量指标：</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指标1：综合业务楼运行维护面积，指标值：16994.41平方米，实际完成值：16994.41平方米，指标完成率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指标2：劳务费发放次数，指标值：12次，实际完成值：12次，指标完成率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：物业管理服务人员数量，指标值：40人，实际完成值：40人，指标完成率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：保障正常办公人员数量，指标值：180人，实际完成值：175人，指标完成率</w:t>
      </w:r>
      <w:r>
        <w:rPr>
          <w:rFonts w:hint="eastAsia" w:ascii="仿宋" w:hAnsi="仿宋" w:eastAsia="仿宋" w:cs="仿宋"/>
          <w:sz w:val="30"/>
          <w:szCs w:val="30"/>
          <w:highlight w:val="none"/>
          <w:lang w:val="en-US" w:eastAsia="zh-CN"/>
        </w:rPr>
        <w:t>99.72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：剧场承接演出场次，指标值：20场，实际完成值：2</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场，指标完成率</w:t>
      </w:r>
      <w:r>
        <w:rPr>
          <w:rFonts w:hint="eastAsia" w:ascii="仿宋" w:hAnsi="仿宋" w:eastAsia="仿宋" w:cs="仿宋"/>
          <w:sz w:val="30"/>
          <w:szCs w:val="30"/>
          <w:highlight w:val="none"/>
          <w:lang w:val="en-US" w:eastAsia="zh-CN"/>
        </w:rPr>
        <w:t>105</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 2 \* GB3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②</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t>质量指标：</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指标1：物业管理服务完成率（%），指标值：≥90%，实际完成值：90%，指标完成率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 3 \* GB3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③</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t>时效指标：</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指标1：项目按期完成率，指标值：100%，实际完成值：100%，指标完成率100%</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 4 \* GB3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④</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t>成本指标：</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指标1：物业管理服务人员人均劳务费，指标值：3730元/人.次，实际完成值：3730元/人.次，指标完成率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：人均运转经费，指标值：97元/人.月，实际完成值：97元/人.月，指标完成率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pStyle w:val="11"/>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项目效益情况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项目效益类指标包括项目实施效益和满意度两方面的内容，由1个三级指标构成，权重分为20分，实际得分20分，得分率为100%。具体效益指标及满意度指标完成情况如下：</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1.实施效益</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②</w:t>
      </w:r>
      <w:r>
        <w:rPr>
          <w:rFonts w:hint="eastAsia" w:ascii="仿宋" w:hAnsi="仿宋" w:eastAsia="仿宋" w:cs="仿宋"/>
          <w:sz w:val="30"/>
          <w:szCs w:val="30"/>
          <w:highlight w:val="none"/>
        </w:rPr>
        <w:t>社会效益指标：</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：公共服务水平提升情况，指标值：显著提升，实际完成值：显著提升，指标完成率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2.满意度</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满意度指标：受益职工的满意程度、</w:t>
      </w:r>
      <w:r>
        <w:rPr>
          <w:rFonts w:hint="eastAsia" w:ascii="仿宋" w:hAnsi="仿宋" w:eastAsia="仿宋" w:cs="仿宋"/>
          <w:sz w:val="30"/>
          <w:szCs w:val="30"/>
          <w:highlight w:val="none"/>
        </w:rPr>
        <w:t>指标值：≥90%，实际完成值：</w:t>
      </w:r>
      <w:r>
        <w:rPr>
          <w:rFonts w:hint="eastAsia" w:ascii="仿宋" w:hAnsi="仿宋" w:eastAsia="仿宋" w:cs="仿宋"/>
          <w:sz w:val="30"/>
          <w:szCs w:val="30"/>
          <w:highlight w:val="none"/>
          <w:lang w:val="en-US" w:eastAsia="zh-CN"/>
        </w:rPr>
        <w:t>90%</w:t>
      </w:r>
      <w:r>
        <w:rPr>
          <w:rFonts w:hint="eastAsia" w:ascii="仿宋" w:hAnsi="仿宋" w:eastAsia="仿宋" w:cs="仿宋"/>
          <w:sz w:val="30"/>
          <w:szCs w:val="30"/>
          <w:highlight w:val="none"/>
        </w:rPr>
        <w:t>，指标完成率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spacing w:line="560" w:lineRule="exact"/>
        <w:ind w:firstLine="640" w:firstLineChars="200"/>
        <w:rPr>
          <w:rFonts w:hint="eastAsia" w:eastAsia="黑体"/>
          <w:bCs/>
          <w:sz w:val="32"/>
          <w:szCs w:val="32"/>
          <w:lang w:eastAsia="zh-Hans"/>
        </w:rPr>
      </w:pPr>
      <w:r>
        <w:rPr>
          <w:rFonts w:hint="eastAsia" w:eastAsia="黑体"/>
          <w:bCs/>
          <w:sz w:val="32"/>
          <w:szCs w:val="32"/>
          <w:lang w:eastAsia="zh-Hans"/>
        </w:rPr>
        <w:t>五、预算执行进度与绩效指标总体完成率偏差</w:t>
      </w:r>
    </w:p>
    <w:p>
      <w:pPr>
        <w:pStyle w:val="18"/>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木卡姆艺术团综合业务楼运行补助</w:t>
      </w:r>
      <w:r>
        <w:rPr>
          <w:rFonts w:hint="eastAsia" w:ascii="仿宋" w:hAnsi="仿宋" w:eastAsia="仿宋" w:cs="仿宋"/>
          <w:sz w:val="30"/>
          <w:szCs w:val="30"/>
          <w:highlight w:val="none"/>
        </w:rPr>
        <w:t>项目年初预算</w:t>
      </w:r>
      <w:r>
        <w:rPr>
          <w:rFonts w:hint="eastAsia" w:ascii="仿宋" w:hAnsi="仿宋" w:eastAsia="仿宋" w:cs="仿宋"/>
          <w:sz w:val="30"/>
          <w:szCs w:val="30"/>
          <w:highlight w:val="none"/>
          <w:lang w:val="en-US" w:eastAsia="zh-CN"/>
        </w:rPr>
        <w:t>200</w:t>
      </w:r>
      <w:r>
        <w:rPr>
          <w:rFonts w:hint="eastAsia" w:ascii="仿宋" w:hAnsi="仿宋" w:eastAsia="仿宋" w:cs="仿宋"/>
          <w:sz w:val="30"/>
          <w:szCs w:val="30"/>
          <w:highlight w:val="none"/>
        </w:rPr>
        <w:t>万元，全年预算</w:t>
      </w:r>
      <w:r>
        <w:rPr>
          <w:rFonts w:hint="eastAsia" w:ascii="仿宋" w:hAnsi="仿宋" w:eastAsia="仿宋" w:cs="仿宋"/>
          <w:sz w:val="30"/>
          <w:szCs w:val="30"/>
          <w:highlight w:val="none"/>
          <w:lang w:val="en-US" w:eastAsia="zh-CN"/>
        </w:rPr>
        <w:t>200</w:t>
      </w:r>
      <w:r>
        <w:rPr>
          <w:rFonts w:hint="eastAsia" w:ascii="仿宋" w:hAnsi="仿宋" w:eastAsia="仿宋" w:cs="仿宋"/>
          <w:sz w:val="30"/>
          <w:szCs w:val="30"/>
          <w:highlight w:val="none"/>
        </w:rPr>
        <w:t>万元，实际支出</w:t>
      </w:r>
      <w:r>
        <w:rPr>
          <w:rFonts w:hint="eastAsia" w:ascii="仿宋" w:hAnsi="仿宋" w:eastAsia="仿宋" w:cs="仿宋"/>
          <w:sz w:val="30"/>
          <w:szCs w:val="30"/>
          <w:highlight w:val="none"/>
          <w:lang w:val="en-US" w:eastAsia="zh-CN"/>
        </w:rPr>
        <w:t>200</w:t>
      </w:r>
      <w:r>
        <w:rPr>
          <w:rFonts w:hint="eastAsia" w:ascii="仿宋" w:hAnsi="仿宋" w:eastAsia="仿宋" w:cs="仿宋"/>
          <w:sz w:val="30"/>
          <w:szCs w:val="30"/>
          <w:highlight w:val="none"/>
        </w:rPr>
        <w:t>万元，预算执行率为</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%，项目绩效指标总体完成率为</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Hans"/>
        </w:rPr>
        <w:t>总体</w:t>
      </w:r>
      <w:r>
        <w:rPr>
          <w:rFonts w:hint="eastAsia" w:ascii="仿宋" w:hAnsi="仿宋" w:eastAsia="仿宋" w:cs="仿宋"/>
          <w:sz w:val="30"/>
          <w:szCs w:val="30"/>
          <w:highlight w:val="none"/>
        </w:rPr>
        <w:t>偏差率为</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w:t>
      </w:r>
    </w:p>
    <w:p>
      <w:pPr>
        <w:spacing w:line="560" w:lineRule="exact"/>
        <w:ind w:firstLine="640" w:firstLineChars="200"/>
        <w:rPr>
          <w:rFonts w:hint="eastAsia" w:eastAsia="黑体"/>
          <w:bCs/>
          <w:sz w:val="32"/>
          <w:szCs w:val="32"/>
          <w:lang w:eastAsia="zh-Hans"/>
        </w:rPr>
      </w:pPr>
      <w:r>
        <w:rPr>
          <w:rFonts w:hint="eastAsia" w:eastAsia="黑体"/>
          <w:bCs/>
          <w:sz w:val="32"/>
          <w:szCs w:val="32"/>
          <w:lang w:eastAsia="zh-Hans"/>
        </w:rPr>
        <w:t>六、主要经验及做法、存在的问题及原因分析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rPr>
          <w:rFonts w:hint="eastAsia" w:ascii="仿宋" w:hAnsi="仿宋" w:eastAsia="仿宋" w:cs="仿宋"/>
          <w:b/>
          <w:spacing w:val="-4"/>
          <w:sz w:val="30"/>
          <w:szCs w:val="30"/>
          <w:highlight w:val="none"/>
        </w:rPr>
      </w:pPr>
      <w:r>
        <w:rPr>
          <w:rFonts w:hint="eastAsia" w:ascii="仿宋" w:hAnsi="仿宋" w:eastAsia="仿宋" w:cs="仿宋"/>
          <w:b/>
          <w:spacing w:val="-4"/>
          <w:sz w:val="30"/>
          <w:szCs w:val="30"/>
          <w:highlight w:val="none"/>
        </w:rPr>
        <w:t>（一）主要经验及做法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keepNext w:val="0"/>
        <w:keepLines w:val="0"/>
        <w:pageBreakBefore w:val="0"/>
        <w:kinsoku/>
        <w:wordWrap/>
        <w:overflowPunct/>
        <w:topLinePunct w:val="0"/>
        <w:autoSpaceDE/>
        <w:autoSpaceDN/>
        <w:bidi w:val="0"/>
        <w:adjustRightInd/>
        <w:snapToGrid/>
        <w:spacing w:before="0" w:after="0" w:line="560" w:lineRule="exact"/>
        <w:ind w:firstLine="600" w:firstLineChars="200"/>
        <w:jc w:val="left"/>
        <w:textAlignment w:val="auto"/>
        <w:rPr>
          <w:rFonts w:hint="eastAsia" w:ascii="仿宋" w:hAnsi="仿宋" w:eastAsia="仿宋" w:cs="仿宋"/>
          <w:b w:val="0"/>
          <w:bCs w:val="0"/>
          <w:kern w:val="2"/>
          <w:sz w:val="30"/>
          <w:szCs w:val="30"/>
          <w:highlight w:val="none"/>
        </w:rPr>
      </w:pPr>
      <w:r>
        <w:rPr>
          <w:rFonts w:hint="eastAsia" w:ascii="仿宋" w:hAnsi="仿宋" w:eastAsia="仿宋" w:cs="仿宋"/>
          <w:b w:val="0"/>
          <w:bCs w:val="0"/>
          <w:kern w:val="2"/>
          <w:sz w:val="30"/>
          <w:szCs w:val="30"/>
          <w:highlight w:val="none"/>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5"/>
        </w:num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存在的问题及原因分析</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2.因轮岗、调动、等因素使我单位绩效工作人员流动频繁，造成了工作衔接不到位的情况。</w:t>
      </w:r>
    </w:p>
    <w:p>
      <w:pPr>
        <w:spacing w:line="560" w:lineRule="exact"/>
        <w:ind w:firstLine="640" w:firstLineChars="200"/>
        <w:rPr>
          <w:rFonts w:hint="eastAsia" w:ascii="仿宋" w:hAnsi="仿宋" w:eastAsia="仿宋" w:cs="仿宋"/>
          <w:sz w:val="30"/>
          <w:szCs w:val="30"/>
          <w:highlight w:val="none"/>
        </w:rPr>
      </w:pPr>
      <w:r>
        <w:rPr>
          <w:rFonts w:hint="eastAsia" w:eastAsia="黑体"/>
          <w:bCs/>
          <w:sz w:val="32"/>
          <w:szCs w:val="32"/>
          <w:lang w:eastAsia="zh-Hans"/>
        </w:rPr>
        <w:t>七、有关建议</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1.多进行有关绩效管理工作方面的培训。积极组织第三方开展绩效管理工作培训，进一步夯实业务基础，提高我单位绩效人员水平。</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shd w:val="clear"/>
        <w:spacing w:line="600" w:lineRule="exact"/>
        <w:ind w:firstLine="600" w:firstLineChars="200"/>
        <w:outlineLvl w:val="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eastAsia" w:ascii="仿宋" w:hAnsi="仿宋" w:eastAsia="仿宋" w:cs="仿宋"/>
          <w:sz w:val="30"/>
          <w:szCs w:val="30"/>
          <w:highlight w:val="none"/>
        </w:rPr>
        <w:t>。</w:t>
      </w:r>
    </w:p>
    <w:p>
      <w:pPr>
        <w:spacing w:line="560" w:lineRule="exact"/>
        <w:ind w:firstLine="640" w:firstLineChars="200"/>
        <w:rPr>
          <w:rFonts w:hint="eastAsia" w:eastAsia="黑体"/>
          <w:bCs/>
          <w:sz w:val="32"/>
          <w:szCs w:val="32"/>
          <w:lang w:eastAsia="zh-Hans"/>
        </w:rPr>
      </w:pPr>
      <w:r>
        <w:rPr>
          <w:rFonts w:hint="eastAsia" w:eastAsia="黑体"/>
          <w:bCs/>
          <w:sz w:val="32"/>
          <w:szCs w:val="32"/>
          <w:lang w:eastAsia="zh-Hans"/>
        </w:rPr>
        <w:t>八、其他需要说</w:t>
      </w:r>
      <w:bookmarkStart w:id="6" w:name="page8"/>
      <w:bookmarkEnd w:id="6"/>
      <w:r>
        <w:rPr>
          <w:rFonts w:hint="eastAsia" w:eastAsia="黑体"/>
          <w:bCs/>
          <w:sz w:val="32"/>
          <w:szCs w:val="32"/>
          <w:lang w:eastAsia="zh-Hans"/>
        </w:rPr>
        <w:t>明的问题</w:t>
      </w:r>
    </w:p>
    <w:p>
      <w:pPr>
        <w:pStyle w:val="12"/>
        <w:spacing w:after="0" w:line="560" w:lineRule="exact"/>
        <w:ind w:left="0" w:leftChars="0" w:firstLine="640"/>
        <w:rPr>
          <w:rFonts w:hint="eastAsia" w:ascii="仿宋" w:hAnsi="仿宋" w:eastAsia="仿宋" w:cs="仿宋"/>
          <w:sz w:val="30"/>
          <w:szCs w:val="30"/>
          <w:highlight w:val="none"/>
        </w:rPr>
      </w:pPr>
      <w:r>
        <w:rPr>
          <w:rFonts w:hint="eastAsia" w:ascii="仿宋" w:hAnsi="仿宋" w:eastAsia="仿宋" w:cs="仿宋"/>
          <w:sz w:val="30"/>
          <w:szCs w:val="30"/>
          <w:highlight w:val="none"/>
          <w:lang w:eastAsia="zh-Hans"/>
        </w:rPr>
        <w:t>本项目无其他需说明的问题。</w:t>
      </w:r>
    </w:p>
    <w:p>
      <w:pPr>
        <w:pStyle w:val="12"/>
        <w:spacing w:after="0" w:line="560" w:lineRule="exact"/>
        <w:ind w:left="0" w:leftChars="0" w:firstLine="640"/>
        <w:rPr>
          <w:rFonts w:hint="eastAsia" w:ascii="仿宋" w:hAnsi="仿宋" w:eastAsia="仿宋" w:cs="仿宋"/>
          <w:sz w:val="30"/>
          <w:szCs w:val="30"/>
          <w:highlight w:val="none"/>
        </w:rPr>
      </w:pPr>
    </w:p>
    <w:p>
      <w:pPr>
        <w:widowControl/>
        <w:jc w:val="both"/>
        <w:textAlignment w:val="center"/>
        <w:rPr>
          <w:rFonts w:hint="eastAsia" w:ascii="仿宋" w:hAnsi="仿宋" w:eastAsia="仿宋" w:cs="仿宋"/>
          <w:b/>
          <w:kern w:val="0"/>
          <w:sz w:val="30"/>
          <w:szCs w:val="30"/>
          <w:highlight w:val="none"/>
          <w:lang w:bidi="ar"/>
        </w:rPr>
        <w:sectPr>
          <w:pgSz w:w="11906" w:h="16838"/>
          <w:pgMar w:top="1440" w:right="1558" w:bottom="1440" w:left="1800" w:header="851" w:footer="992" w:gutter="0"/>
          <w:cols w:space="425" w:num="1"/>
          <w:docGrid w:type="lines" w:linePitch="312" w:charSpace="0"/>
        </w:sectPr>
      </w:pPr>
      <w:bookmarkStart w:id="9" w:name="_GoBack"/>
      <w:bookmarkEnd w:id="9"/>
    </w:p>
    <w:tbl>
      <w:tblPr>
        <w:tblStyle w:val="13"/>
        <w:tblW w:w="8983" w:type="dxa"/>
        <w:tblInd w:w="0" w:type="dxa"/>
        <w:tblLayout w:type="autofit"/>
        <w:tblCellMar>
          <w:top w:w="0" w:type="dxa"/>
          <w:left w:w="0" w:type="dxa"/>
          <w:bottom w:w="0" w:type="dxa"/>
          <w:right w:w="0" w:type="dxa"/>
        </w:tblCellMar>
      </w:tblPr>
      <w:tblGrid>
        <w:gridCol w:w="798"/>
        <w:gridCol w:w="865"/>
        <w:gridCol w:w="1095"/>
        <w:gridCol w:w="1350"/>
        <w:gridCol w:w="975"/>
        <w:gridCol w:w="1950"/>
        <w:gridCol w:w="1950"/>
      </w:tblGrid>
      <w:tr>
        <w:tblPrEx>
          <w:tblCellMar>
            <w:top w:w="0" w:type="dxa"/>
            <w:left w:w="0" w:type="dxa"/>
            <w:bottom w:w="0" w:type="dxa"/>
            <w:right w:w="0" w:type="dxa"/>
          </w:tblCellMar>
        </w:tblPrEx>
        <w:trPr>
          <w:trHeight w:val="420" w:hRule="atLeast"/>
        </w:trPr>
        <w:tc>
          <w:tcPr>
            <w:tcW w:w="8983" w:type="dxa"/>
            <w:gridSpan w:val="7"/>
            <w:tcBorders>
              <w:top w:val="nil"/>
              <w:left w:val="nil"/>
              <w:bottom w:val="single" w:color="auto" w:sz="4" w:space="0"/>
              <w:right w:val="nil"/>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b/>
                <w:sz w:val="24"/>
                <w:szCs w:val="24"/>
                <w:highlight w:val="none"/>
                <w:u w:val="single"/>
              </w:rPr>
            </w:pPr>
            <w:r>
              <w:rPr>
                <w:rFonts w:hint="eastAsia" w:ascii="仿宋" w:hAnsi="仿宋" w:eastAsia="仿宋" w:cs="仿宋"/>
                <w:b/>
                <w:kern w:val="0"/>
                <w:sz w:val="24"/>
                <w:szCs w:val="24"/>
                <w:highlight w:val="none"/>
                <w:lang w:bidi="ar"/>
              </w:rPr>
              <w:t>项目支出绩效自评表</w:t>
            </w:r>
          </w:p>
        </w:tc>
      </w:tr>
      <w:tr>
        <w:tblPrEx>
          <w:tblCellMar>
            <w:top w:w="0" w:type="dxa"/>
            <w:left w:w="0" w:type="dxa"/>
            <w:bottom w:w="0" w:type="dxa"/>
            <w:right w:w="0" w:type="dxa"/>
          </w:tblCellMar>
        </w:tblPrEx>
        <w:trPr>
          <w:trHeight w:val="288" w:hRule="atLeast"/>
        </w:trPr>
        <w:tc>
          <w:tcPr>
            <w:tcW w:w="8983" w:type="dxa"/>
            <w:gridSpan w:val="7"/>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（2022年度）</w:t>
            </w:r>
          </w:p>
        </w:tc>
      </w:tr>
      <w:tr>
        <w:tblPrEx>
          <w:tblCellMar>
            <w:top w:w="0" w:type="dxa"/>
            <w:left w:w="0" w:type="dxa"/>
            <w:bottom w:w="0" w:type="dxa"/>
            <w:right w:w="0" w:type="dxa"/>
          </w:tblCellMar>
        </w:tblPrEx>
        <w:trPr>
          <w:trHeight w:val="276" w:hRule="atLeast"/>
        </w:trPr>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项目名称</w:t>
            </w:r>
          </w:p>
        </w:tc>
        <w:tc>
          <w:tcPr>
            <w:tcW w:w="732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木卡姆艺术团综合业务楼运行补助</w:t>
            </w:r>
          </w:p>
        </w:tc>
      </w:tr>
      <w:tr>
        <w:tblPrEx>
          <w:tblCellMar>
            <w:top w:w="0" w:type="dxa"/>
            <w:left w:w="0" w:type="dxa"/>
            <w:bottom w:w="0" w:type="dxa"/>
            <w:right w:w="0" w:type="dxa"/>
          </w:tblCellMar>
        </w:tblPrEx>
        <w:trPr>
          <w:trHeight w:val="276" w:hRule="atLeast"/>
        </w:trPr>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主管部门</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新疆维吾尔自治区文化和旅游厅</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实施单位</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新疆艺术剧院木卡姆艺术团</w:t>
            </w:r>
          </w:p>
        </w:tc>
      </w:tr>
      <w:tr>
        <w:tblPrEx>
          <w:tblCellMar>
            <w:top w:w="0" w:type="dxa"/>
            <w:left w:w="0" w:type="dxa"/>
            <w:bottom w:w="0" w:type="dxa"/>
            <w:right w:w="0" w:type="dxa"/>
          </w:tblCellMar>
        </w:tblPrEx>
        <w:trPr>
          <w:trHeight w:val="731" w:hRule="atLeast"/>
        </w:trPr>
        <w:tc>
          <w:tcPr>
            <w:tcW w:w="16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项目资金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年初预算数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全年预算数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全年执行数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执行率</w:t>
            </w:r>
          </w:p>
        </w:tc>
      </w:tr>
      <w:tr>
        <w:tblPrEx>
          <w:tblCellMar>
            <w:top w:w="0" w:type="dxa"/>
            <w:left w:w="0" w:type="dxa"/>
            <w:bottom w:w="0" w:type="dxa"/>
            <w:right w:w="0" w:type="dxa"/>
          </w:tblCellMar>
        </w:tblPrEx>
        <w:trPr>
          <w:trHeight w:val="276" w:hRule="atLeast"/>
        </w:trPr>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年度资金总额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w:t>
            </w:r>
          </w:p>
        </w:tc>
      </w:tr>
      <w:tr>
        <w:tblPrEx>
          <w:tblCellMar>
            <w:top w:w="0" w:type="dxa"/>
            <w:left w:w="0" w:type="dxa"/>
            <w:bottom w:w="0" w:type="dxa"/>
            <w:right w:w="0" w:type="dxa"/>
          </w:tblCellMar>
        </w:tblPrEx>
        <w:trPr>
          <w:trHeight w:val="276" w:hRule="atLeast"/>
        </w:trPr>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其中：当年财政拨款</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276" w:hRule="atLeast"/>
        </w:trPr>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上年结转资金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276" w:hRule="atLeast"/>
        </w:trPr>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276"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年度总体目标</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预期目标</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实际完成情况</w:t>
            </w:r>
          </w:p>
        </w:tc>
      </w:tr>
      <w:tr>
        <w:tblPrEx>
          <w:tblCellMar>
            <w:top w:w="0" w:type="dxa"/>
            <w:left w:w="0" w:type="dxa"/>
            <w:bottom w:w="0" w:type="dxa"/>
            <w:right w:w="0" w:type="dxa"/>
          </w:tblCellMar>
        </w:tblPrEx>
        <w:trPr>
          <w:trHeight w:val="7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障本团各部门正常运转，使办公、排练正常化，完成多项公益性演出任务，为各族人民提供高质量的文化艺术产品，保证各族群众充分享受文化艺术权益，充分发挥重点艺术表演团体在建设社会主义先进文化的导向作用、代表作用、示范作用。我团综合业务楼集办公、排练、演出为一体，房屋建筑面积16994.41平方米，运行经费200万元，保障本团综合楼运行所需水、电、电气维护、消防维护、配电维护、物业所需保洁、保安、监控、物业管理、设备维修人员费用、维护材料经费、日常基础设施方面的费用，基础设施设备维修改造，日常办公各项基本支出费用等。在大楼正常运转得到保障的前提下，我团各部门正常发挥其职能，全团干部职工共同努力，互相配合，紧紧围绕社会稳定和长治久安这一新疆工作总目标，突出剧团中心工作，在文艺创作演出，基础设施建设、综合治理及安全生产、对外文化交流等方面均取得了显著成绩。</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障本团各部门正常运转，使办公、排练正常化，完成多项公益性演出任务，为各族人民提供高质量的文化艺术产品，保证各族群众充分享受文化艺术权益，充分发挥重点艺术表演团体在建设社会主义先进文化的导向作用、代表作用、示范作用。我团综合业务楼集办公、排练、演出为一体，房屋建筑面积16994.41平方米，运行经费200万元，保障本团综合楼运行所需水、电、电气维护、消防维护、配电维护、物业所需保洁、保安、监控、物业管理、设备维修人员费用、维护材料经费、日常基础设施方面的费用，基础设施设备维修改造，日常办公各项基本支出费用等。在大楼正常运转得到保障的前提下，我团各部门正常发挥其职能，全团干部职工共同努力，互相配合，紧紧围绕社会稳定和长治久安这一新疆工作总目标，突出剧团中心工作，在文艺创作演出，基础设施建设、综合治理及安全生产、对外文化交流等方面均取得了显著成绩</w:t>
            </w:r>
          </w:p>
        </w:tc>
      </w:tr>
      <w:tr>
        <w:tblPrEx>
          <w:tblCellMar>
            <w:top w:w="0" w:type="dxa"/>
            <w:left w:w="0" w:type="dxa"/>
            <w:bottom w:w="0" w:type="dxa"/>
            <w:right w:w="0" w:type="dxa"/>
          </w:tblCellMar>
        </w:tblPrEx>
        <w:trPr>
          <w:trHeight w:val="408"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绩效指标</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一级指标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二级指标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三级指标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年度指标值</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实际完成值</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偏差原因分析及改进措施</w:t>
            </w:r>
          </w:p>
        </w:tc>
      </w:tr>
      <w:tr>
        <w:tblPrEx>
          <w:tblCellMar>
            <w:top w:w="0" w:type="dxa"/>
            <w:left w:w="0" w:type="dxa"/>
            <w:bottom w:w="0" w:type="dxa"/>
            <w:right w:w="0" w:type="dxa"/>
          </w:tblCellMar>
        </w:tblPrEx>
        <w:trPr>
          <w:trHeight w:val="40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restart"/>
            <w:tcBorders>
              <w:top w:val="single" w:color="000000" w:sz="4" w:space="0"/>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产出指标</w:t>
            </w:r>
          </w:p>
        </w:tc>
        <w:tc>
          <w:tcPr>
            <w:tcW w:w="109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综合业务楼运行维护面积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16994.41平方米</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16994.41平方米</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0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劳务费发放次数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0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物业管理服务人员数量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40人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40人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0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保障正常办公人员数量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180人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175人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09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剧场承接演出场次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物业管理服务完成率（%）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500"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时效指标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项目按期完成率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成本指标</w:t>
            </w:r>
          </w:p>
        </w:tc>
        <w:tc>
          <w:tcPr>
            <w:tcW w:w="135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物业管理服务人员人均劳务费</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3730元/人.次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3730元/人.次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人均运转经费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97元/人.月</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97元/人.月</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6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效益指标</w:t>
            </w:r>
          </w:p>
        </w:tc>
        <w:tc>
          <w:tcPr>
            <w:tcW w:w="1095"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社会效益指标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公共服务水平提升情况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显著提升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显著提升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满意度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服务对象满意度指标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受益职工的满意程度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bl>
    <w:p>
      <w:pPr>
        <w:pStyle w:val="2"/>
        <w:jc w:val="both"/>
        <w:rPr>
          <w:rFonts w:hint="eastAsia" w:ascii="仿宋" w:hAnsi="仿宋" w:eastAsia="仿宋" w:cs="仿宋"/>
          <w:b w:val="0"/>
          <w:bCs w:val="0"/>
          <w:sz w:val="24"/>
          <w:szCs w:val="24"/>
          <w:highlight w:val="none"/>
        </w:rPr>
      </w:pPr>
    </w:p>
    <w:p>
      <w:pPr>
        <w:pStyle w:val="2"/>
        <w:rPr>
          <w:rFonts w:hint="eastAsia" w:ascii="仿宋" w:hAnsi="仿宋" w:eastAsia="仿宋" w:cs="仿宋"/>
          <w:b w:val="0"/>
          <w:bCs w:val="0"/>
          <w:sz w:val="24"/>
          <w:szCs w:val="24"/>
          <w:highlight w:val="none"/>
        </w:rPr>
      </w:pPr>
    </w:p>
    <w:p>
      <w:pPr>
        <w:pStyle w:val="2"/>
        <w:jc w:val="both"/>
        <w:rPr>
          <w:rFonts w:hint="eastAsia" w:ascii="仿宋" w:hAnsi="仿宋" w:eastAsia="仿宋" w:cs="仿宋"/>
          <w:sz w:val="24"/>
          <w:szCs w:val="24"/>
          <w:highlight w:val="none"/>
        </w:rPr>
        <w:sectPr>
          <w:pgSz w:w="11906" w:h="16838"/>
          <w:pgMar w:top="1440" w:right="1558" w:bottom="1440" w:left="1800" w:header="851" w:footer="992" w:gutter="0"/>
          <w:cols w:space="425" w:num="1"/>
          <w:docGrid w:type="lines" w:linePitch="312" w:charSpace="0"/>
        </w:sectPr>
      </w:pPr>
    </w:p>
    <w:p>
      <w:pPr>
        <w:spacing w:line="600" w:lineRule="exact"/>
        <w:rPr>
          <w:rFonts w:hint="eastAsia" w:ascii="仿宋" w:hAnsi="仿宋" w:eastAsia="仿宋" w:cs="仿宋"/>
          <w:sz w:val="24"/>
          <w:szCs w:val="24"/>
          <w:highlight w:val="none"/>
        </w:rPr>
      </w:pPr>
      <w:r>
        <w:rPr>
          <w:rFonts w:hint="eastAsia" w:ascii="仿宋" w:hAnsi="仿宋" w:eastAsia="仿宋" w:cs="仿宋"/>
          <w:bCs/>
          <w:sz w:val="24"/>
          <w:szCs w:val="24"/>
          <w:highlight w:val="none"/>
        </w:rPr>
        <w:t>附件1</w:t>
      </w:r>
    </w:p>
    <w:p>
      <w:pPr>
        <w:pStyle w:val="18"/>
        <w:ind w:firstLine="562"/>
        <w:jc w:val="center"/>
        <w:rPr>
          <w:rFonts w:hint="eastAsia" w:ascii="仿宋" w:hAnsi="仿宋" w:eastAsia="仿宋" w:cs="仿宋"/>
          <w:sz w:val="24"/>
          <w:szCs w:val="24"/>
          <w:highlight w:val="none"/>
        </w:rPr>
      </w:pPr>
      <w:bookmarkStart w:id="7" w:name="_Toc30064_WPSOffice_Level1"/>
      <w:bookmarkStart w:id="8" w:name="_Toc26499_WPSOffice_Level2"/>
      <w:r>
        <w:rPr>
          <w:rFonts w:hint="eastAsia" w:ascii="仿宋" w:hAnsi="仿宋" w:eastAsia="仿宋" w:cs="仿宋"/>
          <w:b/>
          <w:bCs/>
          <w:sz w:val="24"/>
          <w:szCs w:val="24"/>
          <w:highlight w:val="none"/>
          <w:lang w:val="en-US" w:eastAsia="zh-CN"/>
        </w:rPr>
        <w:t>木卡姆艺术团综合业务楼运行补助</w:t>
      </w:r>
      <w:r>
        <w:rPr>
          <w:rFonts w:hint="eastAsia" w:ascii="仿宋" w:hAnsi="仿宋" w:eastAsia="仿宋" w:cs="仿宋"/>
          <w:b/>
          <w:bCs/>
          <w:sz w:val="24"/>
          <w:szCs w:val="24"/>
          <w:highlight w:val="none"/>
        </w:rPr>
        <w:t>项目绩效评价指标体系及综合评分表</w:t>
      </w:r>
      <w:bookmarkEnd w:id="7"/>
      <w:bookmarkEnd w:id="8"/>
    </w:p>
    <w:tbl>
      <w:tblPr>
        <w:tblStyle w:val="13"/>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8"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一级指标</w:t>
            </w:r>
          </w:p>
        </w:tc>
        <w:tc>
          <w:tcPr>
            <w:tcW w:w="301"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二级指标</w:t>
            </w:r>
          </w:p>
        </w:tc>
        <w:tc>
          <w:tcPr>
            <w:tcW w:w="344"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三级指标</w:t>
            </w:r>
          </w:p>
        </w:tc>
        <w:tc>
          <w:tcPr>
            <w:tcW w:w="92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指标解释</w:t>
            </w:r>
          </w:p>
        </w:tc>
        <w:tc>
          <w:tcPr>
            <w:tcW w:w="2048"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指标说明</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权重</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8"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决策　</w:t>
            </w: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项目立项　</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立项依据</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充分性</w:t>
            </w:r>
          </w:p>
        </w:tc>
        <w:tc>
          <w:tcPr>
            <w:tcW w:w="927"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项目立项是否符合法律法规、相关政策、发展规划以及部门职责，用以反映和考核项目立项依据情况。</w:t>
            </w:r>
          </w:p>
        </w:tc>
        <w:tc>
          <w:tcPr>
            <w:tcW w:w="2048" w:type="pct"/>
            <w:shd w:val="clear" w:color="auto" w:fill="FFFFFF"/>
            <w:vAlign w:val="center"/>
          </w:tcPr>
          <w:p>
            <w:pPr>
              <w:widowControl/>
              <w:spacing w:line="0" w:lineRule="atLeas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①项目立项是否符合国家法律法规、国民经济发展规划和相关政策；</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②项目立项是否符合行业发展规划和政策要求；</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③项目立项是否与部门职责范围相符，属于部门履职所需；</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④项目是否属于公共财政支持范围，是否符合中央、地方事权支出责任划分原则；</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⑤项目是否与相关部门同类项目或部门内部相关项目重复。</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3</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立项程序</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规范性</w:t>
            </w:r>
          </w:p>
        </w:tc>
        <w:tc>
          <w:tcPr>
            <w:tcW w:w="927"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项目申请、设立过程是否符合相关要求，用以反映和考核项目立项的规范情况。</w:t>
            </w:r>
          </w:p>
        </w:tc>
        <w:tc>
          <w:tcPr>
            <w:tcW w:w="2048" w:type="pct"/>
            <w:shd w:val="clear" w:color="auto" w:fill="FFFFFF"/>
            <w:vAlign w:val="center"/>
          </w:tcPr>
          <w:p>
            <w:pPr>
              <w:widowControl/>
              <w:spacing w:line="0" w:lineRule="atLeas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①项目是否按照规定的程序申请设立；</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②审批文件、材料是否符合相关要求；</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3</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绩效目标　</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绩效目标</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合理性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项目所设定的绩效目标是否依据充分，是否符合客观实际，用以反映和考核项目绩效目标与项目实施的相符情况。</w:t>
            </w:r>
          </w:p>
        </w:tc>
        <w:tc>
          <w:tcPr>
            <w:tcW w:w="2048" w:type="pct"/>
            <w:shd w:val="clear" w:color="000000" w:fill="FFFFFF"/>
            <w:vAlign w:val="center"/>
          </w:tcPr>
          <w:p>
            <w:pPr>
              <w:widowControl/>
              <w:spacing w:line="0" w:lineRule="atLeas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（如未设定预算绩效目标，也可考核其他工作任务目标）</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①项目是否有绩效目标；</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②项目绩效目标与实际工作内容是否具有相关性；</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③项目预期产出效益和效果是否符合正常的业绩水平；</w:t>
            </w:r>
          </w:p>
          <w:p>
            <w:pPr>
              <w:widowControl/>
              <w:spacing w:line="0" w:lineRule="atLeas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④是否与预算确定的项目投资额或资金量相匹配。</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3</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绩效指标</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明确性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依据绩效目标设定的绩效指标是否清晰、细化、可衡量等，用以反映和考核项目绩效目标的明细化情况。</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①是否将项目绩效目标细化分解为具体的绩效指标；</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②是否通过清晰、可衡量的指标值予以体现；</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③是否与项目目标任务数或计划数相对应。</w:t>
            </w:r>
            <w:r>
              <w:rPr>
                <w:rFonts w:hint="eastAsia" w:ascii="仿宋" w:hAnsi="仿宋" w:eastAsia="仿宋" w:cs="仿宋"/>
                <w:color w:val="000000"/>
                <w:kern w:val="0"/>
                <w:sz w:val="24"/>
                <w:szCs w:val="24"/>
                <w:highlight w:val="none"/>
              </w:rPr>
              <w:br w:type="textWrapping"/>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3</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资金投入</w:t>
            </w:r>
          </w:p>
          <w:p>
            <w:pPr>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预算编制</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科学性</w:t>
            </w:r>
          </w:p>
        </w:tc>
        <w:tc>
          <w:tcPr>
            <w:tcW w:w="927"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项目预算编制是否经过科学论证、有明确标准，资金额度与年度目标是否相适应，用以反映和考核项目预算编制的科学性、合理性情况。</w:t>
            </w:r>
          </w:p>
        </w:tc>
        <w:tc>
          <w:tcPr>
            <w:tcW w:w="2048"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①预算编制是否经过科学论证；</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②预算内容与项目内容是否匹配；</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③预算额度测算依据是否充分，是否按照标准编制；</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④预算确定的项目投资额或资金量是否与工作任务相匹配。</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资金分配</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合理性</w:t>
            </w:r>
          </w:p>
        </w:tc>
        <w:tc>
          <w:tcPr>
            <w:tcW w:w="927"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项目预算资金分配是否有测算依据，与补助单位或地方实际是否相适应，用以反映和考核项目预算资金分配的科学性、合理性情况。</w:t>
            </w:r>
          </w:p>
        </w:tc>
        <w:tc>
          <w:tcPr>
            <w:tcW w:w="2048"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①预算资金分配依据是否充分；</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②资金分配额度是否合理，与项目单位或地方实际是否相适应。</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8" w:type="pct"/>
            <w:vMerge w:val="restart"/>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过程</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资金管理</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资金到位率</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实际到位资金与预算资金的比率，用以反映和考核资金落实情况对项目实施的总体保障程度。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资金到位率=（实际到位资金/预算资金）×100%。</w:t>
            </w:r>
          </w:p>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实际到位资金：一定时期（本年度或项目期）内落实到具体项目的资金。</w:t>
            </w:r>
          </w:p>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预算资金：一定时期（本年度或项目期）内预算安排到具体项目的资金。</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预算执行率</w:t>
            </w:r>
          </w:p>
        </w:tc>
        <w:tc>
          <w:tcPr>
            <w:tcW w:w="927"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项目预算资金是否按照计划执行，用以反映或考核项目预算执行情况。</w:t>
            </w:r>
          </w:p>
        </w:tc>
        <w:tc>
          <w:tcPr>
            <w:tcW w:w="2048"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预算执行率=（实际支出资金/实际到位资金）×100%。</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实际支出资金：一定时期（本年度或项目期）内项目实际拨付的资金。</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资金管理</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资金使用</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合规性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项目资金使用是否符合相关的财务管理制度规定，用以反映和考核项目资金的规范运行情况。</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①是否符合国家财经法规和财务管理制度以及有关专项资金管理办法的规定；</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②资金的拨付是否有完整的审批程序和手续；</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③是否符合项目预算批复或合同规定的用途；</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④是否存在截留、挤占、挪用、虚列支出等情况。</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组织实施</w:t>
            </w:r>
          </w:p>
          <w:p>
            <w:pPr>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管理制度</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健全性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项目实施单位的财务和业务管理制度是否健全，用以反映和考核财务和业务管理制度对项目顺利实施的保障情况。</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①是否已制定或具有相应的财务和业务管理制度；</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②财务和业务管理制度是否合法、合规、完整。</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制度执行</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有效性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项目实施是否符合相关管理规定，用以反映和考核相关管理制度的有效执行情况。</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①是否遵守相关法律法规和相关管理规定；</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②项目调整及支出调整手续是否完备；</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③项目合同书、验收报告、技术鉴定等资料是否齐全并及时归档；</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④项目实施的人员条件、场地设备、信息支撑等是否落实到位。</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8"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产出</w:t>
            </w:r>
          </w:p>
        </w:tc>
        <w:tc>
          <w:tcPr>
            <w:tcW w:w="301"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产出数量</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实际完成率</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项目实施的实际产出数与计划产出数的比率，用以反映和考核项目产出数量目标的实现程度。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实际完成率=（实际产出数/计划产出数）×100%。</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实际产出数：一定时期（本年度或项目期）内项目实际产出的产品或提供的服务数量。</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9.86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产出质量</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质量达标率</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项目完成的质量达标产出数与实际产出数的比率，用以反映和考核项目产出质量目标的实现程度。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质量达标率=（质量达标产出数/实际产出数）×100%。</w:t>
            </w:r>
          </w:p>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产出时效</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完成及时性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项目实际完成时间与计划完成时间的比较，用以反映和考核项目产出时效目标的实现程度。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实际完成时间：项目实施单位完成该项目实际所耗用的时间。</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计划完成时间：按照项目实施计划或相关规定完成该项目所需的时间。</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产出成本</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成本节约率</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完成项目计划工作目标的实际节约成本与计划成本的比率，用以反映和考核项目的成本节约程度。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成本节约率=[（计划成本-实际成本）/计划成本]×100%。</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实际成本：项目实施单位如期、保质、保量完成既定工作目标实际所耗费的支出。</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8"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效益　</w:t>
            </w: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项目效益　</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实施效益</w:t>
            </w:r>
          </w:p>
        </w:tc>
        <w:tc>
          <w:tcPr>
            <w:tcW w:w="927" w:type="pct"/>
            <w:shd w:val="clear" w:color="auto" w:fill="FFFFFF"/>
            <w:vAlign w:val="center"/>
          </w:tcPr>
          <w:p>
            <w:pPr>
              <w:widowControl/>
              <w:spacing w:line="0" w:lineRule="atLeas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项目实施所产生的效益。</w:t>
            </w:r>
          </w:p>
        </w:tc>
        <w:tc>
          <w:tcPr>
            <w:tcW w:w="2048"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满意度</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社会公众或服务对象对项目实施效果的满意程度。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val="en-US" w:eastAsia="zh-CN"/>
              </w:rPr>
              <w:t>10</w:t>
            </w:r>
          </w:p>
        </w:tc>
      </w:tr>
    </w:tbl>
    <w:p>
      <w:pPr>
        <w:rPr>
          <w:rFonts w:hint="eastAsia" w:ascii="仿宋" w:hAnsi="仿宋" w:eastAsia="仿宋" w:cs="仿宋"/>
          <w:sz w:val="24"/>
          <w:szCs w:val="24"/>
          <w:highlight w:val="none"/>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粗黑宋简体">
    <w:altName w:val="方正书宋_GBK"/>
    <w:panose1 w:val="02000000000000000000"/>
    <w:charset w:val="86"/>
    <w:family w:val="auto"/>
    <w:pitch w:val="default"/>
    <w:sig w:usb0="00000000" w:usb1="00000000"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60FE1"/>
    <w:multiLevelType w:val="singleLevel"/>
    <w:tmpl w:val="DEF60FE1"/>
    <w:lvl w:ilvl="0" w:tentative="0">
      <w:start w:val="1"/>
      <w:numFmt w:val="decimal"/>
      <w:suff w:val="nothing"/>
      <w:lvlText w:val="（%1）"/>
      <w:lvlJc w:val="left"/>
    </w:lvl>
  </w:abstractNum>
  <w:abstractNum w:abstractNumId="1">
    <w:nsid w:val="E83853AE"/>
    <w:multiLevelType w:val="singleLevel"/>
    <w:tmpl w:val="E83853AE"/>
    <w:lvl w:ilvl="0" w:tentative="0">
      <w:start w:val="2"/>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411CA3"/>
    <w:rsid w:val="006F7242"/>
    <w:rsid w:val="007B168A"/>
    <w:rsid w:val="008B2CFE"/>
    <w:rsid w:val="009444C8"/>
    <w:rsid w:val="00A20187"/>
    <w:rsid w:val="00F26FF6"/>
    <w:rsid w:val="01BE7323"/>
    <w:rsid w:val="021F7DC1"/>
    <w:rsid w:val="02372319"/>
    <w:rsid w:val="027A76EE"/>
    <w:rsid w:val="02B639A3"/>
    <w:rsid w:val="0371289F"/>
    <w:rsid w:val="05FB28F4"/>
    <w:rsid w:val="066E0546"/>
    <w:rsid w:val="06A44D39"/>
    <w:rsid w:val="07397B77"/>
    <w:rsid w:val="076170CE"/>
    <w:rsid w:val="07D63618"/>
    <w:rsid w:val="080C528C"/>
    <w:rsid w:val="083C4C0D"/>
    <w:rsid w:val="08D321F3"/>
    <w:rsid w:val="08E92ED7"/>
    <w:rsid w:val="0AE065AF"/>
    <w:rsid w:val="0D1F336B"/>
    <w:rsid w:val="0D59372E"/>
    <w:rsid w:val="0E43308A"/>
    <w:rsid w:val="0F0547E3"/>
    <w:rsid w:val="10AD2823"/>
    <w:rsid w:val="11BF6ECB"/>
    <w:rsid w:val="11D33C3A"/>
    <w:rsid w:val="130D4D0D"/>
    <w:rsid w:val="13471461"/>
    <w:rsid w:val="13517FF7"/>
    <w:rsid w:val="13763F01"/>
    <w:rsid w:val="13B90F01"/>
    <w:rsid w:val="142F28B9"/>
    <w:rsid w:val="15842905"/>
    <w:rsid w:val="1772678E"/>
    <w:rsid w:val="17FF2717"/>
    <w:rsid w:val="17FF6273"/>
    <w:rsid w:val="181066D2"/>
    <w:rsid w:val="1A8626DA"/>
    <w:rsid w:val="1C671E73"/>
    <w:rsid w:val="1E4470D6"/>
    <w:rsid w:val="1F6F21BA"/>
    <w:rsid w:val="20261FEC"/>
    <w:rsid w:val="215F54AB"/>
    <w:rsid w:val="221C5C74"/>
    <w:rsid w:val="22941D70"/>
    <w:rsid w:val="247608C9"/>
    <w:rsid w:val="253A4D8F"/>
    <w:rsid w:val="269059F2"/>
    <w:rsid w:val="26CF7759"/>
    <w:rsid w:val="273B6B9C"/>
    <w:rsid w:val="273E043A"/>
    <w:rsid w:val="27F31225"/>
    <w:rsid w:val="28A644E9"/>
    <w:rsid w:val="29811395"/>
    <w:rsid w:val="29BA46F0"/>
    <w:rsid w:val="2C5D6DF7"/>
    <w:rsid w:val="2C701096"/>
    <w:rsid w:val="2CFA3055"/>
    <w:rsid w:val="2FBEE76F"/>
    <w:rsid w:val="306B6744"/>
    <w:rsid w:val="30C85944"/>
    <w:rsid w:val="329675D7"/>
    <w:rsid w:val="32FC18D5"/>
    <w:rsid w:val="349A13A6"/>
    <w:rsid w:val="34B7766B"/>
    <w:rsid w:val="369B4DC9"/>
    <w:rsid w:val="36DE12F2"/>
    <w:rsid w:val="37865C12"/>
    <w:rsid w:val="37FFA13A"/>
    <w:rsid w:val="38B14F10"/>
    <w:rsid w:val="38CA40DD"/>
    <w:rsid w:val="395F2B56"/>
    <w:rsid w:val="39900FC9"/>
    <w:rsid w:val="39A07F0A"/>
    <w:rsid w:val="3B0A76E0"/>
    <w:rsid w:val="3BB32D4D"/>
    <w:rsid w:val="3BECE841"/>
    <w:rsid w:val="3C2324A0"/>
    <w:rsid w:val="3C5E715D"/>
    <w:rsid w:val="3C6127A9"/>
    <w:rsid w:val="3C7C5835"/>
    <w:rsid w:val="3D3304FA"/>
    <w:rsid w:val="3DFF671E"/>
    <w:rsid w:val="3E497999"/>
    <w:rsid w:val="3EC84D62"/>
    <w:rsid w:val="3EE020AB"/>
    <w:rsid w:val="3EEB0A50"/>
    <w:rsid w:val="3EEC29A8"/>
    <w:rsid w:val="3F0C144A"/>
    <w:rsid w:val="3F854A01"/>
    <w:rsid w:val="3FF7797D"/>
    <w:rsid w:val="3FF853EA"/>
    <w:rsid w:val="407927B7"/>
    <w:rsid w:val="4081341A"/>
    <w:rsid w:val="415428DD"/>
    <w:rsid w:val="4206635C"/>
    <w:rsid w:val="425828A0"/>
    <w:rsid w:val="43397FDC"/>
    <w:rsid w:val="441445A5"/>
    <w:rsid w:val="44D3620E"/>
    <w:rsid w:val="45857508"/>
    <w:rsid w:val="45B46040"/>
    <w:rsid w:val="46102182"/>
    <w:rsid w:val="46380A1F"/>
    <w:rsid w:val="46603AD2"/>
    <w:rsid w:val="46C67DD9"/>
    <w:rsid w:val="46C87FF5"/>
    <w:rsid w:val="470E79D1"/>
    <w:rsid w:val="48256D81"/>
    <w:rsid w:val="48CC18F2"/>
    <w:rsid w:val="495F7030"/>
    <w:rsid w:val="4A08695A"/>
    <w:rsid w:val="4AE03433"/>
    <w:rsid w:val="4B06733D"/>
    <w:rsid w:val="4BDC009E"/>
    <w:rsid w:val="4CAD438D"/>
    <w:rsid w:val="4DFA2A5E"/>
    <w:rsid w:val="4E0A0EF3"/>
    <w:rsid w:val="4F1764A1"/>
    <w:rsid w:val="4F4F0B87"/>
    <w:rsid w:val="4F7D56F4"/>
    <w:rsid w:val="504B57F2"/>
    <w:rsid w:val="50591CBD"/>
    <w:rsid w:val="506A5C79"/>
    <w:rsid w:val="508F56DF"/>
    <w:rsid w:val="50C92051"/>
    <w:rsid w:val="515661FD"/>
    <w:rsid w:val="51A056CA"/>
    <w:rsid w:val="54CB0CB0"/>
    <w:rsid w:val="554271C4"/>
    <w:rsid w:val="556709D9"/>
    <w:rsid w:val="563015EF"/>
    <w:rsid w:val="57686C8A"/>
    <w:rsid w:val="58E81250"/>
    <w:rsid w:val="59773805"/>
    <w:rsid w:val="59A301AC"/>
    <w:rsid w:val="5AA93841"/>
    <w:rsid w:val="5AAC3332"/>
    <w:rsid w:val="5BFF6039"/>
    <w:rsid w:val="5C9A1694"/>
    <w:rsid w:val="5CF1327E"/>
    <w:rsid w:val="5D323FC2"/>
    <w:rsid w:val="5D76A616"/>
    <w:rsid w:val="5D7F20B9"/>
    <w:rsid w:val="5DA402F0"/>
    <w:rsid w:val="5DAC7D0E"/>
    <w:rsid w:val="5DE66B5A"/>
    <w:rsid w:val="5DF272AD"/>
    <w:rsid w:val="5E1F1E09"/>
    <w:rsid w:val="5E8E6FD6"/>
    <w:rsid w:val="5E91222E"/>
    <w:rsid w:val="5F98B5AF"/>
    <w:rsid w:val="5FFE8511"/>
    <w:rsid w:val="5FFEACE2"/>
    <w:rsid w:val="60613222"/>
    <w:rsid w:val="60E2185B"/>
    <w:rsid w:val="612C61C5"/>
    <w:rsid w:val="61604D1E"/>
    <w:rsid w:val="617A7CE6"/>
    <w:rsid w:val="61976527"/>
    <w:rsid w:val="61E02E23"/>
    <w:rsid w:val="61F5736C"/>
    <w:rsid w:val="635D166D"/>
    <w:rsid w:val="63C63647"/>
    <w:rsid w:val="643EE26D"/>
    <w:rsid w:val="672A3F5C"/>
    <w:rsid w:val="676A70D7"/>
    <w:rsid w:val="67B0620F"/>
    <w:rsid w:val="694E0021"/>
    <w:rsid w:val="6CA34594"/>
    <w:rsid w:val="6CE9601A"/>
    <w:rsid w:val="6D0E38DD"/>
    <w:rsid w:val="6DEA7FA1"/>
    <w:rsid w:val="6DF456B4"/>
    <w:rsid w:val="6E5518BE"/>
    <w:rsid w:val="6EE844E0"/>
    <w:rsid w:val="6F5C41AC"/>
    <w:rsid w:val="6FAF6C78"/>
    <w:rsid w:val="6FCC5BB0"/>
    <w:rsid w:val="7124644E"/>
    <w:rsid w:val="71267542"/>
    <w:rsid w:val="716A5681"/>
    <w:rsid w:val="71D46F9E"/>
    <w:rsid w:val="72E1679A"/>
    <w:rsid w:val="7317C656"/>
    <w:rsid w:val="734ED73F"/>
    <w:rsid w:val="73DE6B17"/>
    <w:rsid w:val="743031C2"/>
    <w:rsid w:val="74D13C69"/>
    <w:rsid w:val="75330480"/>
    <w:rsid w:val="767B3E8C"/>
    <w:rsid w:val="77170059"/>
    <w:rsid w:val="77FD8BE9"/>
    <w:rsid w:val="79382508"/>
    <w:rsid w:val="79635186"/>
    <w:rsid w:val="79A9BD3F"/>
    <w:rsid w:val="79E104AA"/>
    <w:rsid w:val="7ACA6029"/>
    <w:rsid w:val="7BFFFDD0"/>
    <w:rsid w:val="7C336E5F"/>
    <w:rsid w:val="7CC145C3"/>
    <w:rsid w:val="7CD97B5E"/>
    <w:rsid w:val="7D7A5F86"/>
    <w:rsid w:val="7D957F29"/>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10145</Words>
  <Characters>10520</Characters>
  <Lines>58</Lines>
  <Paragraphs>16</Paragraphs>
  <TotalTime>3</TotalTime>
  <ScaleCrop>false</ScaleCrop>
  <LinksUpToDate>false</LinksUpToDate>
  <CharactersWithSpaces>10529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2023-03-09T05:13:00Z</dcterms:created>
  <dc:creator>审核人</dc:creator>
  <cp:lastModifiedBy>wlt</cp:lastModifiedBy>
  <dcterms:modified xsi:type="dcterms:W3CDTF">2024-01-09T12:34:21Z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DEB37354E36D40D48F20A3DAB18895C3</vt:lpwstr>
  </property>
</Properties>
</file>