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kern w:val="0"/>
          <w:sz w:val="32"/>
          <w:szCs w:val="32"/>
          <w:highlight w:val="none"/>
        </w:rPr>
      </w:pPr>
    </w:p>
    <w:p>
      <w:pPr>
        <w:spacing w:line="540" w:lineRule="exact"/>
        <w:rPr>
          <w:rFonts w:hint="eastAsia" w:ascii="宋体" w:hAnsi="宋体" w:eastAsia="宋体" w:cs="宋体"/>
          <w:b/>
          <w:kern w:val="0"/>
          <w:sz w:val="32"/>
          <w:szCs w:val="32"/>
          <w:highlight w:val="none"/>
        </w:rPr>
      </w:pPr>
    </w:p>
    <w:p>
      <w:pPr>
        <w:spacing w:line="540" w:lineRule="exact"/>
        <w:jc w:val="center"/>
        <w:rPr>
          <w:rFonts w:hint="eastAsia" w:ascii="宋体" w:hAnsi="宋体" w:eastAsia="宋体" w:cs="宋体"/>
          <w:b/>
          <w:kern w:val="0"/>
          <w:sz w:val="32"/>
          <w:szCs w:val="32"/>
          <w:highlight w:val="none"/>
        </w:rPr>
      </w:pPr>
    </w:p>
    <w:p>
      <w:pPr>
        <w:spacing w:line="540" w:lineRule="exact"/>
        <w:ind w:left="420" w:leftChars="200"/>
        <w:jc w:val="left"/>
        <w:rPr>
          <w:rFonts w:hint="eastAsia" w:ascii="宋体" w:hAnsi="宋体" w:eastAsia="宋体" w:cs="宋体"/>
          <w:b/>
          <w:kern w:val="0"/>
          <w:sz w:val="32"/>
          <w:szCs w:val="32"/>
          <w:highlight w:val="none"/>
        </w:rPr>
      </w:pPr>
    </w:p>
    <w:p>
      <w:pPr>
        <w:numPr>
          <w:ilvl w:val="0"/>
          <w:numId w:val="0"/>
        </w:numPr>
        <w:spacing w:line="540" w:lineRule="exact"/>
        <w:ind w:left="420" w:leftChars="200"/>
        <w:jc w:val="center"/>
        <w:rPr>
          <w:rFonts w:hint="eastAsia" w:ascii="方正粗黑宋简体" w:hAnsi="方正粗黑宋简体" w:eastAsia="方正粗黑宋简体" w:cs="方正粗黑宋简体"/>
          <w:kern w:val="0"/>
          <w:sz w:val="52"/>
          <w:szCs w:val="52"/>
          <w:highlight w:val="none"/>
        </w:rPr>
      </w:pPr>
      <w:r>
        <w:rPr>
          <w:rFonts w:hint="eastAsia" w:ascii="方正粗黑宋简体" w:hAnsi="方正粗黑宋简体" w:eastAsia="方正粗黑宋简体" w:cs="方正粗黑宋简体"/>
          <w:kern w:val="0"/>
          <w:sz w:val="52"/>
          <w:szCs w:val="52"/>
          <w:highlight w:val="none"/>
        </w:rPr>
        <w:t>自治区本级政府购买演出资金项目支出绩效评价报告</w:t>
      </w:r>
    </w:p>
    <w:p>
      <w:pPr>
        <w:spacing w:line="540" w:lineRule="exact"/>
        <w:jc w:val="center"/>
        <w:rPr>
          <w:rFonts w:hint="eastAsia" w:ascii="方正粗黑宋简体" w:hAnsi="方正粗黑宋简体" w:eastAsia="方正粗黑宋简体" w:cs="方正粗黑宋简体"/>
          <w:b/>
          <w:kern w:val="0"/>
          <w:sz w:val="52"/>
          <w:szCs w:val="52"/>
          <w:highlight w:val="none"/>
        </w:rPr>
      </w:pPr>
    </w:p>
    <w:p>
      <w:pPr>
        <w:spacing w:line="540" w:lineRule="exact"/>
        <w:jc w:val="center"/>
        <w:rPr>
          <w:rFonts w:hint="eastAsia" w:ascii="方正粗黑宋简体" w:hAnsi="方正粗黑宋简体" w:eastAsia="方正粗黑宋简体" w:cs="方正粗黑宋简体"/>
          <w:kern w:val="0"/>
          <w:sz w:val="52"/>
          <w:szCs w:val="52"/>
          <w:highlight w:val="none"/>
        </w:rPr>
      </w:pPr>
      <w:r>
        <w:rPr>
          <w:rFonts w:hint="eastAsia" w:ascii="方正粗黑宋简体" w:hAnsi="方正粗黑宋简体" w:eastAsia="方正粗黑宋简体" w:cs="方正粗黑宋简体"/>
          <w:kern w:val="0"/>
          <w:sz w:val="52"/>
          <w:szCs w:val="52"/>
          <w:highlight w:val="none"/>
        </w:rPr>
        <w:t>（2022年度）</w:t>
      </w:r>
    </w:p>
    <w:p>
      <w:pPr>
        <w:spacing w:line="540" w:lineRule="exact"/>
        <w:jc w:val="center"/>
        <w:rPr>
          <w:rFonts w:hint="eastAsia" w:ascii="方正粗黑宋简体" w:hAnsi="方正粗黑宋简体" w:eastAsia="方正粗黑宋简体" w:cs="方正粗黑宋简体"/>
          <w:kern w:val="0"/>
          <w:sz w:val="52"/>
          <w:szCs w:val="52"/>
          <w:highlight w:val="none"/>
        </w:rPr>
      </w:pPr>
    </w:p>
    <w:p>
      <w:pPr>
        <w:spacing w:line="540" w:lineRule="exact"/>
        <w:jc w:val="center"/>
        <w:rPr>
          <w:rFonts w:hint="eastAsia" w:ascii="宋体" w:hAnsi="宋体" w:eastAsia="宋体" w:cs="宋体"/>
          <w:kern w:val="0"/>
          <w:sz w:val="32"/>
          <w:szCs w:val="32"/>
          <w:highlight w:val="none"/>
        </w:rPr>
      </w:pPr>
    </w:p>
    <w:p>
      <w:pPr>
        <w:spacing w:line="540" w:lineRule="exact"/>
        <w:jc w:val="center"/>
        <w:rPr>
          <w:rFonts w:hint="eastAsia" w:ascii="宋体" w:hAnsi="宋体" w:eastAsia="宋体" w:cs="宋体"/>
          <w:kern w:val="0"/>
          <w:sz w:val="32"/>
          <w:szCs w:val="32"/>
          <w:highlight w:val="none"/>
        </w:rPr>
      </w:pPr>
    </w:p>
    <w:p>
      <w:pPr>
        <w:pStyle w:val="2"/>
        <w:rPr>
          <w:rFonts w:hint="eastAsia" w:ascii="宋体" w:hAnsi="宋体" w:eastAsia="宋体" w:cs="宋体"/>
          <w:sz w:val="32"/>
          <w:szCs w:val="32"/>
          <w:highlight w:val="none"/>
        </w:rPr>
      </w:pPr>
    </w:p>
    <w:p>
      <w:pPr>
        <w:spacing w:line="540" w:lineRule="exact"/>
        <w:jc w:val="center"/>
        <w:rPr>
          <w:rFonts w:hint="eastAsia" w:ascii="宋体" w:hAnsi="宋体" w:eastAsia="宋体" w:cs="宋体"/>
          <w:kern w:val="0"/>
          <w:sz w:val="32"/>
          <w:szCs w:val="32"/>
          <w:highlight w:val="none"/>
        </w:rPr>
      </w:pPr>
    </w:p>
    <w:p>
      <w:pPr>
        <w:spacing w:line="540" w:lineRule="exact"/>
        <w:ind w:left="0" w:leftChars="0"/>
        <w:jc w:val="left"/>
        <w:rPr>
          <w:rFonts w:hint="eastAsia" w:ascii="宋体" w:hAnsi="宋体" w:eastAsia="宋体" w:cs="宋体"/>
          <w:kern w:val="0"/>
          <w:sz w:val="32"/>
          <w:szCs w:val="32"/>
          <w:highlight w:val="none"/>
        </w:rPr>
      </w:pPr>
    </w:p>
    <w:p>
      <w:pPr>
        <w:spacing w:line="700" w:lineRule="exact"/>
        <w:jc w:val="left"/>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项目名称：自治区本级政府购买演出实施单位（公章）：新疆艺术剧院木卡姆艺术团</w:t>
      </w:r>
    </w:p>
    <w:p>
      <w:pPr>
        <w:numPr>
          <w:ilvl w:val="0"/>
          <w:numId w:val="0"/>
        </w:numPr>
        <w:spacing w:line="700" w:lineRule="exact"/>
        <w:ind w:leftChars="0"/>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rPr>
        <w:t>主管部门（公章）：</w:t>
      </w:r>
      <w:r>
        <w:rPr>
          <w:rFonts w:hint="eastAsia" w:ascii="宋体" w:hAnsi="宋体" w:eastAsia="宋体" w:cs="宋体"/>
          <w:kern w:val="0"/>
          <w:sz w:val="32"/>
          <w:szCs w:val="32"/>
          <w:highlight w:val="none"/>
          <w:lang w:val="en-US" w:eastAsia="zh-CN"/>
        </w:rPr>
        <w:t>新疆维吾尔自治区文化和旅游厅</w:t>
      </w:r>
      <w:r>
        <w:rPr>
          <w:rFonts w:hint="eastAsia" w:ascii="宋体" w:hAnsi="宋体" w:eastAsia="宋体" w:cs="宋体"/>
          <w:kern w:val="0"/>
          <w:sz w:val="32"/>
          <w:szCs w:val="32"/>
          <w:highlight w:val="none"/>
        </w:rPr>
        <w:t>项目负责人（签章）：</w:t>
      </w:r>
      <w:r>
        <w:rPr>
          <w:rFonts w:hint="eastAsia" w:ascii="宋体" w:hAnsi="宋体" w:eastAsia="宋体" w:cs="宋体"/>
          <w:kern w:val="0"/>
          <w:sz w:val="32"/>
          <w:szCs w:val="32"/>
          <w:highlight w:val="none"/>
          <w:lang w:val="en-US" w:eastAsia="zh-CN"/>
        </w:rPr>
        <w:t>迪力下提·帕尔哈提</w:t>
      </w:r>
    </w:p>
    <w:p>
      <w:pPr>
        <w:spacing w:line="700" w:lineRule="exact"/>
        <w:ind w:firstLine="640" w:firstLineChars="200"/>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rPr>
        <w:t>填报时间：</w:t>
      </w:r>
      <w:r>
        <w:rPr>
          <w:rFonts w:hint="eastAsia" w:ascii="宋体" w:hAnsi="宋体" w:eastAsia="宋体" w:cs="宋体"/>
          <w:kern w:val="0"/>
          <w:sz w:val="32"/>
          <w:szCs w:val="32"/>
          <w:highlight w:val="none"/>
          <w:lang w:val="en-US" w:eastAsia="zh-CN"/>
        </w:rPr>
        <w:t>2023年4月6日</w:t>
      </w:r>
    </w:p>
    <w:p>
      <w:pPr>
        <w:spacing w:line="540" w:lineRule="exact"/>
        <w:jc w:val="center"/>
        <w:rPr>
          <w:rFonts w:hint="eastAsia" w:ascii="宋体" w:hAnsi="宋体" w:eastAsia="宋体" w:cs="宋体"/>
          <w:kern w:val="0"/>
          <w:sz w:val="32"/>
          <w:szCs w:val="32"/>
          <w:highlight w:val="none"/>
        </w:rPr>
      </w:pPr>
    </w:p>
    <w:p>
      <w:pPr>
        <w:spacing w:line="540" w:lineRule="exact"/>
        <w:rPr>
          <w:rStyle w:val="15"/>
          <w:rFonts w:hint="eastAsia" w:ascii="宋体" w:hAnsi="宋体" w:eastAsia="宋体" w:cs="宋体"/>
          <w:b w:val="0"/>
          <w:spacing w:val="-4"/>
          <w:sz w:val="32"/>
          <w:szCs w:val="32"/>
          <w:highlight w:val="none"/>
        </w:rPr>
      </w:pPr>
    </w:p>
    <w:p>
      <w:pPr>
        <w:spacing w:line="540" w:lineRule="exact"/>
        <w:ind w:firstLine="640"/>
        <w:rPr>
          <w:rStyle w:val="15"/>
          <w:rFonts w:hint="eastAsia" w:ascii="宋体" w:hAnsi="宋体" w:eastAsia="宋体" w:cs="宋体"/>
          <w:b w:val="0"/>
          <w:spacing w:val="-4"/>
          <w:sz w:val="32"/>
          <w:szCs w:val="32"/>
          <w:highlight w:val="none"/>
        </w:rPr>
      </w:pPr>
    </w:p>
    <w:p>
      <w:pPr>
        <w:spacing w:line="540" w:lineRule="exact"/>
        <w:rPr>
          <w:rStyle w:val="15"/>
          <w:rFonts w:hint="eastAsia" w:ascii="宋体" w:hAnsi="宋体" w:eastAsia="宋体" w:cs="宋体"/>
          <w:b w:val="0"/>
          <w:spacing w:val="-4"/>
          <w:sz w:val="32"/>
          <w:szCs w:val="32"/>
          <w:highlight w:val="none"/>
        </w:rPr>
      </w:pPr>
    </w:p>
    <w:p>
      <w:pPr>
        <w:spacing w:line="560" w:lineRule="exact"/>
        <w:ind w:firstLine="640" w:firstLineChars="200"/>
        <w:rPr>
          <w:rFonts w:hint="eastAsia" w:ascii="宋体" w:hAnsi="宋体" w:eastAsia="宋体" w:cs="宋体"/>
          <w:bCs/>
          <w:sz w:val="32"/>
          <w:szCs w:val="32"/>
          <w:highlight w:val="none"/>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hint="eastAsia" w:ascii="宋体" w:hAnsi="宋体" w:eastAsia="宋体" w:cs="宋体"/>
          <w:bCs/>
          <w:sz w:val="32"/>
          <w:szCs w:val="32"/>
          <w:highlight w:val="none"/>
        </w:rPr>
      </w:pPr>
      <w:r>
        <w:rPr>
          <w:rFonts w:hint="eastAsia" w:eastAsia="黑体"/>
          <w:bCs/>
          <w:sz w:val="32"/>
          <w:szCs w:val="32"/>
        </w:rPr>
        <w:t>一、基本情况</w:t>
      </w:r>
    </w:p>
    <w:p>
      <w:pPr>
        <w:spacing w:line="560" w:lineRule="exact"/>
        <w:ind w:firstLine="642"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（一）项目概况</w:t>
      </w:r>
    </w:p>
    <w:p>
      <w:pPr>
        <w:spacing w:line="560" w:lineRule="exact"/>
        <w:ind w:firstLine="642"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1、项目背景</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p>
      <w:pPr>
        <w:pStyle w:val="2"/>
        <w:numPr>
          <w:ilvl w:val="0"/>
          <w:numId w:val="1"/>
        </w:numPr>
        <w:spacing w:before="0" w:after="0" w:line="560" w:lineRule="exact"/>
        <w:ind w:firstLine="642" w:firstLineChars="200"/>
        <w:jc w:val="both"/>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t>项目主要内容：</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项目主要内容：根据政府购买演出管理办法，补助资金优先用于各院团在职和离退休人员津贴补贴发放，并可用于演出活动所产生的节目制作、演出服装购置、演出设备租用和维护开支。</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2"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3、资金投入和使用情况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该项目年初预算数390万元，全年预算数390万元，实际总投入390万元，该项目资金已全部落实到位390万元，资金来源为财政拨款。</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该项目年初预算数390万元，全年预算数390万元,全年执行数390万元，预算执行率为100%，主要用于：在职人员绩效奖、综合治理及精神文明奖及弥补工资缺口。</w:t>
      </w:r>
    </w:p>
    <w:p>
      <w:pPr>
        <w:spacing w:line="560" w:lineRule="exact"/>
        <w:ind w:firstLine="642"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（二）项目绩效目标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1、总体目标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建立政府购买演出机制后，可以弥补职工绩效工资及社保缴费的不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阶段性目标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根据政府购买演出管理办法，补助资金优先用于各院团在职和离退休人员津贴补贴发放，并可用于演出活动所产生的节目制作、演出服装购置、演出设备租用和维护开支。</w:t>
      </w:r>
    </w:p>
    <w:p>
      <w:pPr>
        <w:spacing w:line="560" w:lineRule="exact"/>
        <w:ind w:firstLine="640" w:firstLineChars="200"/>
        <w:rPr>
          <w:rFonts w:hint="eastAsia" w:eastAsia="黑体"/>
          <w:bCs/>
          <w:sz w:val="32"/>
          <w:szCs w:val="32"/>
          <w:lang w:val="en-US" w:eastAsia="zh-CN"/>
        </w:rPr>
      </w:pPr>
      <w:r>
        <w:rPr>
          <w:rFonts w:hint="eastAsia" w:eastAsia="黑体"/>
          <w:bCs/>
          <w:sz w:val="32"/>
          <w:szCs w:val="32"/>
          <w:lang w:val="en-US" w:eastAsia="zh-CN"/>
        </w:rPr>
        <w:t>二、绩效评价工作开展情况</w:t>
      </w:r>
    </w:p>
    <w:p>
      <w:pPr>
        <w:spacing w:line="560" w:lineRule="exact"/>
        <w:ind w:firstLine="642"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（一）绩效评价目的、对象和范围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1、绩效评价的目的</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项目在实施前向项目负责人提供财政支出绩效方面的资金管理信息，促进项目支出严格按照资金管理规定进行。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（2）项目绩效管理财政支出运行提供及时、有效的信息。</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合来看，通过开展有效的财政支出绩效评价管理，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2、绩效评价的对象</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自治区本级政府购买演出项目所包含的全部项目内容。</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3、绩效评价的范围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评价从项目决策（包括绩效目标、决策过程）、项目管理（包括项目资金、项目实施）、项目产出（包括项目产出数量、产出质量、产出时效和产出成本）项目效益四个维度对自治区本级政府购买演出项目进行评价，评价核心为专项资金的支出完成情况和效果。</w:t>
      </w:r>
    </w:p>
    <w:p>
      <w:pPr>
        <w:spacing w:line="560" w:lineRule="exact"/>
        <w:ind w:firstLine="642" w:firstLineChars="200"/>
        <w:rPr>
          <w:rFonts w:hint="eastAsia" w:ascii="宋体" w:hAnsi="宋体" w:eastAsia="宋体" w:cs="宋体"/>
          <w:sz w:val="32"/>
          <w:szCs w:val="32"/>
          <w:highlight w:val="none"/>
        </w:rPr>
      </w:pPr>
      <w:r>
        <w:rPr>
          <w:rFonts w:hint="eastAsia" w:ascii="宋体" w:hAnsi="宋体" w:eastAsia="宋体" w:cs="宋体"/>
          <w:b/>
          <w:bCs/>
          <w:sz w:val="32"/>
          <w:szCs w:val="32"/>
          <w:highlight w:val="none"/>
        </w:rPr>
        <w:t>（二）绩效评价原则、评价指标体系（详情见表1）、评价方法、评价标准。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1、绩效评价原则</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本次项目绩效评价遵循以下基本原则：</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（1）科学公正。绩效评价应当运用科学合理的方法，按照规范的程序，对项目绩效进行客观、公正的反映。</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（2）统筹兼顾。单位自评、部门评价和财政评价应职责明确，各有侧重，相互衔接。单位自评应由项目单位自主实施，即“谁支出、谁自评”。部门评价和财政评价应在单位自评的基础上开展。</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（3）激励约束。绩效评价结果应与预算安排、政策调整、改进管理实质性挂钩，体现奖优罚劣和激励相容导向，有效要安排、低效要压减、无效要问责。</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（4）公开透明。绩效评价结果应依法依规公开，并自觉接受社会监督。</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2、评价指标体系</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绩效评价框架是开展绩效评价的核心。绩效评价框架包括评价准则、关键评价问题、评价指标、数据来源、数据收集方法等。指标体系建立过程如下：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（1）确定评价指标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采用层次分析法，建立评价指标体系。绩效评价将指标分为项目决策指标、项目过程指标、项目产出指标、项目效益指标四个维度，最终形成一个由多个相互联系的指标组成的多层次指标体系。</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（3）确定指标标准值</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指标标准值是绩效评价指标的尺度，既要反映同类项目的先进水平，又要符合项目的实际绩效水平。具体采用计划标准等确定此次绩效评价指标标准值。</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具体评价指标体系详情见附件1</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3、绩效评价方法</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绩效评价从项目决策、项目过程、项目产出、项目效益四个维度进行评价。评价对象为项目目标实施情况，评价核心为资金的支出完成情况和项目的产出效益。</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本次评价指标中，既有定性指标又有定量指标，各类指标因考核内容不同和客观标准不同存在较大差异，因此核定具体指标时采用了不同方法，具体评价方法如下：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（1）比较法</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通过对绩效目标与实施效果、历史与当期情况，综合分析绩效目标实现程度。对项目最终验收情况与年度绩效目标对比、预算资金执行情况等相关因素进行比较。</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（2）因素分析法</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综合分析影响绩效目标实现、实施效果的内外因素，评价绩效目标实现程度。通过对项目的开展情况、项目产出数量、成本控制、资金拨付文件及自评报告等相关资料的收集和审核，综合分析各因素对绩效目标实现的影响。</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4、评价标准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绩效评价标准通常包括计划标准、行业标准、历史标准等，用于对绩效指标完成情况进行比较、分析、评价。本次评价主要采用了历史标准。</w:t>
      </w:r>
    </w:p>
    <w:p>
      <w:pPr>
        <w:shd w:val="clear"/>
        <w:spacing w:line="600" w:lineRule="exact"/>
        <w:ind w:firstLine="642" w:firstLineChars="200"/>
        <w:outlineLvl w:val="0"/>
        <w:rPr>
          <w:rFonts w:hint="eastAsia" w:ascii="仿宋_GB2312" w:hAnsi="仿宋_GB2312" w:eastAsia="仿宋_GB2312" w:cs="仿宋_GB2312"/>
          <w:sz w:val="32"/>
          <w:szCs w:val="32"/>
          <w:highlight w:val="none"/>
          <w:lang w:val="en-US" w:eastAsia="zh-CN"/>
        </w:rPr>
      </w:pPr>
      <w:bookmarkStart w:id="0" w:name="_Toc17882"/>
      <w:bookmarkStart w:id="1" w:name="_Toc31464"/>
      <w:r>
        <w:rPr>
          <w:rFonts w:hint="eastAsia" w:ascii="宋体" w:hAnsi="宋体" w:eastAsia="宋体" w:cs="宋体"/>
          <w:b/>
          <w:bCs/>
          <w:sz w:val="32"/>
          <w:szCs w:val="32"/>
          <w:highlight w:val="none"/>
        </w:rPr>
        <w:t>计划标准：</w:t>
      </w:r>
      <w:r>
        <w:rPr>
          <w:rFonts w:hint="eastAsia" w:ascii="仿宋_GB2312" w:hAnsi="仿宋_GB2312" w:eastAsia="仿宋_GB2312" w:cs="仿宋_GB2312"/>
          <w:sz w:val="32"/>
          <w:szCs w:val="32"/>
          <w:highlight w:val="none"/>
          <w:lang w:val="en-US" w:eastAsia="zh-CN"/>
        </w:rPr>
        <w:t>指以预先制定的目标、计划、预算、定额等作为评价标准。</w:t>
      </w:r>
      <w:bookmarkEnd w:id="0"/>
      <w:bookmarkEnd w:id="1"/>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1.前期准备。首先成立评价工作组，开展前期调研；其次明确项目绩效目标，设计绩效评价指标体系并确定绩效评价方法；接着确定现场和非现场评价范围，设计资料清单；最后制定评价实施方案并进行论证。</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组织实施。制定绩效评价工作方案，具体包括项目概况、评价思路、方法手段、组织实施、进度安排等。收集项目立项依据、相关会议纪要、实施方案、财政资金分配方案、支付管理情况等相关评价资料并进行梳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3.分析评价。根据收集梳理的资料围绕项目立项、资金落实、业务管理、财务管理、项目产出、项目效益等内容，对照已确定的绩效评价指标进行详细全面的分析评价，逐项打分并形成绩效评价最终结果。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评价情况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二</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评价结论</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运用绩效评价组制定的评价指标体系以及财政部《项目支出绩效评价管理办法》（财预〔2020〕10号）文件的评分标准，通过数据采集、问卷调查及访谈等方式，对本项目进行客观评价，最终评分结果：总得分为93.35分，属于“优”。其中，项目决策类指标权重为20分，得分为20分，得分率为100%。项目过程类指标权重为20分，得分为20分，得分率为100%。项目产出类指标权重为40分，得分为33.35分，得分率为83.37%。项目效益类指标权重为20分，得分为20分，得分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具体打分情况详见：附件1综合评分表。</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3</w:t>
            </w:r>
            <w:r>
              <w:rPr>
                <w:rFonts w:hint="eastAsia" w:ascii="宋体" w:hAnsi="宋体" w:eastAsia="宋体" w:cs="宋体"/>
                <w:color w:val="000000"/>
                <w:sz w:val="32"/>
                <w:szCs w:val="32"/>
                <w:highlight w:val="none"/>
                <w:lang w:val="en-US" w:eastAsia="zh-CN"/>
              </w:rPr>
              <w:t>3.35</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93.35</w:t>
            </w:r>
          </w:p>
        </w:tc>
      </w:tr>
    </w:tbl>
    <w:p>
      <w:pPr>
        <w:spacing w:line="560" w:lineRule="exact"/>
        <w:ind w:firstLine="640" w:firstLineChars="200"/>
        <w:rPr>
          <w:rFonts w:hint="eastAsia" w:eastAsia="黑体"/>
          <w:bCs/>
          <w:sz w:val="32"/>
          <w:szCs w:val="32"/>
          <w:lang w:val="en-US" w:eastAsia="zh-CN"/>
        </w:rPr>
      </w:pPr>
      <w:r>
        <w:rPr>
          <w:rFonts w:hint="eastAsia" w:eastAsia="黑体"/>
          <w:bCs/>
          <w:sz w:val="32"/>
          <w:szCs w:val="32"/>
          <w:lang w:val="en-US" w:eastAsia="zh-CN"/>
        </w:rPr>
        <w:t>四、绩效评价指标分析</w:t>
      </w:r>
    </w:p>
    <w:p>
      <w:pPr>
        <w:pStyle w:val="2"/>
        <w:spacing w:before="0" w:after="0" w:line="560" w:lineRule="exact"/>
        <w:ind w:firstLine="642" w:firstLineChars="200"/>
        <w:jc w:val="both"/>
        <w:rPr>
          <w:rFonts w:hint="eastAsia" w:ascii="宋体" w:hAnsi="宋体" w:eastAsia="宋体" w:cs="宋体"/>
          <w:sz w:val="32"/>
          <w:szCs w:val="32"/>
          <w:highlight w:val="none"/>
        </w:rPr>
      </w:pPr>
      <w:r>
        <w:rPr>
          <w:rFonts w:hint="eastAsia" w:ascii="宋体" w:hAnsi="宋体" w:eastAsia="宋体" w:cs="宋体"/>
          <w:sz w:val="32"/>
          <w:szCs w:val="32"/>
          <w:highlight w:val="none"/>
        </w:rPr>
        <w:t>（一）项目决策情况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（2）立项程序规范性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项目申请、设立过程符合相关要求，</w:t>
      </w:r>
      <w:r>
        <w:rPr>
          <w:rFonts w:hint="eastAsia" w:ascii="仿宋_GB2312" w:hAnsi="仿宋_GB2312" w:eastAsia="仿宋_GB2312" w:cs="仿宋_GB2312"/>
          <w:sz w:val="32"/>
          <w:szCs w:val="32"/>
          <w:highlight w:val="none"/>
          <w:lang w:val="en-US" w:eastAsia="zh-Hans"/>
        </w:rPr>
        <w:t>严格按照审批流程准备符合要求的文件、材料；</w:t>
      </w:r>
      <w:r>
        <w:rPr>
          <w:rFonts w:hint="eastAsia" w:ascii="仿宋_GB2312" w:hAnsi="仿宋_GB2312" w:eastAsia="仿宋_GB2312" w:cs="仿宋_GB2312"/>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年初结合实际工作内容</w:t>
      </w:r>
      <w:r>
        <w:rPr>
          <w:rFonts w:hint="eastAsia" w:ascii="仿宋_GB2312" w:hAnsi="仿宋_GB2312" w:eastAsia="仿宋_GB2312" w:cs="仿宋_GB2312"/>
          <w:sz w:val="32"/>
          <w:szCs w:val="32"/>
          <w:highlight w:val="none"/>
          <w:lang w:val="en-US" w:eastAsia="zh-CN"/>
        </w:rPr>
        <w:t>设定绩效目标</w:t>
      </w:r>
      <w:r>
        <w:rPr>
          <w:rFonts w:hint="eastAsia" w:ascii="仿宋_GB2312" w:hAnsi="仿宋_GB2312" w:eastAsia="仿宋_GB2312" w:cs="仿宋_GB2312"/>
          <w:sz w:val="32"/>
          <w:szCs w:val="32"/>
          <w:highlight w:val="none"/>
          <w:lang w:val="en-US" w:eastAsia="zh-Hans"/>
        </w:rPr>
        <w:t>，绩效目标</w:t>
      </w:r>
      <w:r>
        <w:rPr>
          <w:rFonts w:hint="eastAsia" w:ascii="仿宋_GB2312" w:hAnsi="仿宋_GB2312" w:eastAsia="仿宋_GB2312" w:cs="仿宋_GB2312"/>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（1）预算编制科学性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预算编制经过科学论证，提供充分的测算依据佐证资料，预算内容与项目内容相匹配。项目投资额与工作任务相匹配。</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（2）资金分配合理性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资金分配额度与项目单位实际工作内容相适应，资金分配额度合理，资金分配依据充分。</w:t>
      </w:r>
    </w:p>
    <w:p>
      <w:pPr>
        <w:pStyle w:val="2"/>
        <w:numPr>
          <w:ilvl w:val="0"/>
          <w:numId w:val="2"/>
        </w:numPr>
        <w:spacing w:before="0" w:after="0" w:line="560" w:lineRule="exact"/>
        <w:ind w:firstLine="642" w:firstLineChars="200"/>
        <w:jc w:val="both"/>
        <w:rPr>
          <w:rFonts w:hint="eastAsia" w:ascii="宋体" w:hAnsi="宋体" w:eastAsia="宋体" w:cs="宋体"/>
          <w:sz w:val="32"/>
          <w:szCs w:val="32"/>
          <w:highlight w:val="none"/>
        </w:rPr>
      </w:pPr>
      <w:r>
        <w:rPr>
          <w:rFonts w:hint="eastAsia" w:ascii="宋体" w:hAnsi="宋体" w:eastAsia="宋体" w:cs="宋体"/>
          <w:sz w:val="32"/>
          <w:szCs w:val="32"/>
          <w:highlight w:val="none"/>
        </w:rPr>
        <w:t>项目过程情况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项目过程类指标包括资金管理和组织实施两方面的内容，由5个三级指标构成，权重分值为20分，实际得分20分，得分率为100%。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本项目总投资390万元，财政资金及时足额到位，到位率100%，预算资金按计划进度执行。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预算编制较为详细，项目资金支出总体能够按照预算执行，预算资金支出390万元，预算执行率为100%。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（2）制度执行有效性</w:t>
      </w:r>
    </w:p>
    <w:p>
      <w:pPr>
        <w:shd w:val="clear"/>
        <w:spacing w:line="600" w:lineRule="exact"/>
        <w:ind w:firstLine="640" w:firstLineChars="200"/>
        <w:outlineLvl w:val="0"/>
        <w:rPr>
          <w:rFonts w:hint="eastAsia" w:ascii="宋体" w:hAnsi="宋体" w:eastAsia="宋体" w:cs="宋体"/>
          <w:sz w:val="32"/>
          <w:szCs w:val="32"/>
          <w:highlight w:val="none"/>
          <w:lang w:val="en-US" w:eastAsia="zh-CN"/>
        </w:rPr>
      </w:pPr>
      <w:r>
        <w:rPr>
          <w:rFonts w:hint="eastAsia" w:ascii="仿宋_GB2312" w:hAnsi="仿宋_GB2312" w:eastAsia="仿宋_GB2312" w:cs="仿宋_GB2312"/>
          <w:sz w:val="32"/>
          <w:szCs w:val="32"/>
          <w:highlight w:val="none"/>
          <w:lang w:val="en-US" w:eastAsia="zh-CN"/>
        </w:rPr>
        <w:t>对资金使用的合法合规性进行监督，年末对资金使用效果进行评价。项目管理、实施人员落实到位，有效按照计划执行。项目执行情况等资料齐全，项目相关手续完备，及时进行归档。</w:t>
      </w:r>
    </w:p>
    <w:p>
      <w:pPr>
        <w:pStyle w:val="11"/>
        <w:numPr>
          <w:ilvl w:val="0"/>
          <w:numId w:val="2"/>
        </w:numPr>
        <w:spacing w:line="560" w:lineRule="exact"/>
        <w:ind w:firstLine="643"/>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项目产出</w:t>
      </w:r>
      <w:r>
        <w:rPr>
          <w:rFonts w:hint="eastAsia" w:ascii="宋体" w:hAnsi="宋体" w:eastAsia="宋体" w:cs="宋体"/>
          <w:b/>
          <w:bCs/>
          <w:sz w:val="32"/>
          <w:szCs w:val="32"/>
          <w:highlight w:val="none"/>
          <w:lang w:val="en-US" w:eastAsia="zh-CN"/>
        </w:rPr>
        <w:t>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项目产出类指标包括产出数量、产出质量、产出时效、产出成本四方面的内容，由10个三级指标构成，权重分为40分，实际得分33.35分，得分率为83.37%。具体产出指标完成情况如下：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1 \* GB3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数量指标：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指标1：文化惠民演出（场），指标值：≥100场，实际完成值：51场，指标完成率51%，偏差原因：受疫情影响演出未能正常开展导致演出场次未能达到预期目标值。</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指标2：全年演出场次（场），指标值：≥130场，实际完成值：60场，指标完成率46%，偏差原因：受疫情影响演出未能正常开展导致演出场次未能达到预期目标值。</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指标3：弥补工资人数，指标值：120人，实际完成值：120人，指标完成率100%，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指标4：发放绩效奖及精神文明奖人数，指标值：172人，实际完成值：120人，指标完成率70%，偏差原因：绩效工资改革不让发聘用人员绩效奖因此人数有变动。.</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2 \* GB3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指标1：绩效工资发放准确性，指标值：100%，实际完成值：100%，指标完成率100%。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指标2：艺术下基层任务完成率，指标值：≥90%，实际完成值：90%，指标完成率100%。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3 \* GB3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时效指标：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指标1：演出活动按时完成率，指标值：≥90%，实际完成值：90%，指标完成率100%。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指标2：绩效工资发放及时性，指标值：≥90%，实际完成值：90%，指标完成率100%。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4 \* GB3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指标1：人均弥补工资标准，指标值：0.67万元/人.年，实际完成值：0.98万元/人.年，指标完成率100%。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指标2：人均绩效奖及精神文明奖标准，指标值：1.8万元/人.年，实际完成值：2万元/人.年，指标完成率100%。</w:t>
      </w:r>
    </w:p>
    <w:p>
      <w:pPr>
        <w:pStyle w:val="11"/>
        <w:numPr>
          <w:ilvl w:val="0"/>
          <w:numId w:val="2"/>
        </w:numPr>
        <w:spacing w:line="560" w:lineRule="exact"/>
        <w:ind w:firstLine="643"/>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项目效益类指标包括项目实施效益和满意度两方面的内容，由1个三级指标构成，权重分为20分，实际得分20分，得分率为100%。具体效益指标及满意度指标完成情况如下：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基层群众对党的惠民政策的认知、指标值：显著提升，实际完成值：显著提升，指标完成率100%。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满意度指标：服务对象满意度、指标值：≥90%，实际完成值：90%，指标完成率100%。</w:t>
      </w:r>
    </w:p>
    <w:p>
      <w:pPr>
        <w:spacing w:line="560" w:lineRule="exact"/>
        <w:ind w:firstLine="640" w:firstLineChars="200"/>
        <w:rPr>
          <w:rFonts w:hint="eastAsia" w:ascii="宋体" w:hAnsi="宋体" w:eastAsia="宋体" w:cs="宋体"/>
          <w:sz w:val="32"/>
          <w:szCs w:val="32"/>
          <w:highlight w:val="none"/>
          <w:lang w:eastAsia="zh-Hans"/>
        </w:rPr>
      </w:pPr>
      <w:r>
        <w:rPr>
          <w:rFonts w:hint="eastAsia" w:eastAsia="黑体"/>
          <w:bCs/>
          <w:sz w:val="32"/>
          <w:szCs w:val="32"/>
          <w:lang w:val="en-US" w:eastAsia="zh-Hans"/>
        </w:rPr>
        <w:t>五、预算执行进度与绩效指标总体完成率偏差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自治区本级政府购买演出项目年初预算390万元，全年预算390万元，实际支出390万元，预算执行率为100%，项目绩效指标总体完成率为93.35%，</w:t>
      </w:r>
      <w:r>
        <w:rPr>
          <w:rFonts w:hint="eastAsia" w:ascii="仿宋_GB2312" w:hAnsi="仿宋_GB2312" w:eastAsia="仿宋_GB2312" w:cs="仿宋_GB2312"/>
          <w:sz w:val="32"/>
          <w:szCs w:val="32"/>
          <w:highlight w:val="none"/>
          <w:lang w:val="en-US" w:eastAsia="zh-Hans"/>
        </w:rPr>
        <w:t>总体</w:t>
      </w:r>
      <w:r>
        <w:rPr>
          <w:rFonts w:hint="eastAsia" w:ascii="仿宋_GB2312" w:hAnsi="仿宋_GB2312" w:eastAsia="仿宋_GB2312" w:cs="仿宋_GB2312"/>
          <w:sz w:val="32"/>
          <w:szCs w:val="32"/>
          <w:highlight w:val="none"/>
          <w:lang w:val="en-US" w:eastAsia="zh-CN"/>
        </w:rPr>
        <w:t>偏差率为6.65%.偏差原因：受疫情影响演出未能正常开展导致演出场次未能达到预期目标值、绩效工资改革不让发聘用人员绩效奖因此人数有变动。</w:t>
      </w:r>
    </w:p>
    <w:p>
      <w:pPr>
        <w:shd w:val="clear"/>
        <w:spacing w:line="600" w:lineRule="exact"/>
        <w:ind w:firstLine="640" w:firstLineChars="200"/>
        <w:outlineLvl w:val="0"/>
        <w:rPr>
          <w:rFonts w:hint="eastAsia" w:eastAsia="黑体"/>
          <w:bCs/>
          <w:sz w:val="32"/>
          <w:szCs w:val="32"/>
          <w:lang w:val="en-US" w:eastAsia="zh-CN"/>
        </w:rPr>
      </w:pPr>
      <w:r>
        <w:rPr>
          <w:rFonts w:hint="eastAsia" w:eastAsia="黑体"/>
          <w:bCs/>
          <w:sz w:val="32"/>
          <w:szCs w:val="32"/>
          <w:lang w:val="en-US" w:eastAsia="zh-Hans"/>
        </w:rPr>
        <w:t>六</w:t>
      </w:r>
      <w:r>
        <w:rPr>
          <w:rFonts w:hint="eastAsia" w:eastAsia="黑体"/>
          <w:bCs/>
          <w:sz w:val="32"/>
          <w:szCs w:val="32"/>
          <w:lang w:val="en-US" w:eastAsia="zh-CN"/>
        </w:rPr>
        <w:t>、主要经验及做法、存在的问题及原因分析</w:t>
      </w:r>
    </w:p>
    <w:p>
      <w:pPr>
        <w:spacing w:line="560" w:lineRule="exact"/>
        <w:ind w:firstLine="626" w:firstLineChars="200"/>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t>（一）主要经验及做法</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3"/>
        </w:numPr>
        <w:spacing w:line="560" w:lineRule="exact"/>
        <w:ind w:firstLine="642"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存在的问题及原因分析</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2.因轮岗、调动、等因素使我单位绩效工作人员流动频繁，造成了工作衔接不到位的情况。</w:t>
      </w:r>
    </w:p>
    <w:p>
      <w:pPr>
        <w:shd w:val="clear"/>
        <w:spacing w:line="600" w:lineRule="exact"/>
        <w:ind w:firstLine="640" w:firstLineChars="200"/>
        <w:outlineLvl w:val="0"/>
        <w:rPr>
          <w:rFonts w:hint="eastAsia" w:eastAsia="黑体"/>
          <w:bCs/>
          <w:sz w:val="32"/>
          <w:szCs w:val="32"/>
          <w:lang w:val="en-US" w:eastAsia="zh-CN"/>
        </w:rPr>
      </w:pPr>
      <w:r>
        <w:rPr>
          <w:rFonts w:hint="eastAsia" w:eastAsia="黑体"/>
          <w:bCs/>
          <w:sz w:val="32"/>
          <w:szCs w:val="32"/>
          <w:lang w:val="en-US" w:eastAsia="zh-Hans"/>
        </w:rPr>
        <w:t>七、</w:t>
      </w:r>
      <w:r>
        <w:rPr>
          <w:rFonts w:hint="eastAsia" w:eastAsia="黑体"/>
          <w:bCs/>
          <w:sz w:val="32"/>
          <w:szCs w:val="32"/>
          <w:lang w:val="en-US" w:eastAsia="zh-CN"/>
        </w:rPr>
        <w:t>有关建议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p>
    <w:p>
      <w:pPr>
        <w:shd w:val="clear"/>
        <w:spacing w:line="600" w:lineRule="exact"/>
        <w:ind w:firstLine="640" w:firstLineChars="200"/>
        <w:outlineLvl w:val="0"/>
        <w:rPr>
          <w:rFonts w:hint="eastAsia" w:eastAsia="黑体"/>
          <w:bCs/>
          <w:sz w:val="32"/>
          <w:szCs w:val="32"/>
          <w:lang w:val="en-US" w:eastAsia="zh-Hans"/>
        </w:rPr>
      </w:pPr>
      <w:bookmarkStart w:id="5" w:name="_GoBack"/>
      <w:bookmarkEnd w:id="5"/>
      <w:r>
        <w:rPr>
          <w:rFonts w:hint="eastAsia" w:eastAsia="黑体"/>
          <w:bCs/>
          <w:sz w:val="32"/>
          <w:szCs w:val="32"/>
          <w:lang w:val="en-US" w:eastAsia="zh-Hans"/>
        </w:rPr>
        <w:t>八、其他需要说</w:t>
      </w:r>
      <w:bookmarkStart w:id="2" w:name="page8"/>
      <w:bookmarkEnd w:id="2"/>
      <w:r>
        <w:rPr>
          <w:rFonts w:hint="eastAsia" w:eastAsia="黑体"/>
          <w:bCs/>
          <w:sz w:val="32"/>
          <w:szCs w:val="32"/>
          <w:lang w:val="en-US" w:eastAsia="zh-Hans"/>
        </w:rPr>
        <w:t>明的问题</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本项目无其他需说明的问题。</w:t>
      </w:r>
    </w:p>
    <w:p>
      <w:pPr>
        <w:widowControl/>
        <w:jc w:val="both"/>
        <w:textAlignment w:val="center"/>
        <w:rPr>
          <w:rFonts w:hint="eastAsia" w:ascii="宋体" w:hAnsi="宋体" w:eastAsia="宋体" w:cs="宋体"/>
          <w:b/>
          <w:kern w:val="0"/>
          <w:sz w:val="32"/>
          <w:szCs w:val="32"/>
          <w:highlight w:val="none"/>
          <w:lang w:bidi="ar"/>
        </w:rPr>
        <w:sectPr>
          <w:pgSz w:w="11906" w:h="16838"/>
          <w:pgMar w:top="1440" w:right="1558" w:bottom="1440" w:left="1800" w:header="851" w:footer="992" w:gutter="0"/>
          <w:cols w:space="425" w:num="1"/>
          <w:docGrid w:type="lines" w:linePitch="312" w:charSpace="0"/>
        </w:sectPr>
      </w:pPr>
    </w:p>
    <w:tbl>
      <w:tblPr>
        <w:tblStyle w:val="13"/>
        <w:tblW w:w="8834" w:type="dxa"/>
        <w:tblInd w:w="0" w:type="dxa"/>
        <w:tblLayout w:type="autofit"/>
        <w:tblCellMar>
          <w:top w:w="0" w:type="dxa"/>
          <w:left w:w="0" w:type="dxa"/>
          <w:bottom w:w="0" w:type="dxa"/>
          <w:right w:w="0" w:type="dxa"/>
        </w:tblCellMar>
      </w:tblPr>
      <w:tblGrid>
        <w:gridCol w:w="798"/>
        <w:gridCol w:w="984"/>
        <w:gridCol w:w="1430"/>
        <w:gridCol w:w="1523"/>
        <w:gridCol w:w="1268"/>
        <w:gridCol w:w="1348"/>
        <w:gridCol w:w="1483"/>
      </w:tblGrid>
      <w:tr>
        <w:tblPrEx>
          <w:tblCellMar>
            <w:top w:w="0" w:type="dxa"/>
            <w:left w:w="0" w:type="dxa"/>
            <w:bottom w:w="0" w:type="dxa"/>
            <w:right w:w="0" w:type="dxa"/>
          </w:tblCellMar>
        </w:tblPrEx>
        <w:trPr>
          <w:trHeight w:val="420" w:hRule="atLeast"/>
        </w:trPr>
        <w:tc>
          <w:tcPr>
            <w:tcW w:w="8834" w:type="dxa"/>
            <w:gridSpan w:val="7"/>
            <w:tcBorders>
              <w:top w:val="nil"/>
              <w:left w:val="nil"/>
              <w:bottom w:val="single" w:color="auto" w:sz="4" w:space="0"/>
              <w:right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b/>
                <w:sz w:val="24"/>
                <w:szCs w:val="24"/>
                <w:highlight w:val="none"/>
                <w:u w:val="single"/>
              </w:rPr>
            </w:pPr>
            <w:r>
              <w:rPr>
                <w:rFonts w:hint="eastAsia" w:ascii="宋体" w:hAnsi="宋体" w:eastAsia="宋体" w:cs="宋体"/>
                <w:b/>
                <w:kern w:val="0"/>
                <w:sz w:val="24"/>
                <w:szCs w:val="24"/>
                <w:highlight w:val="none"/>
                <w:lang w:bidi="ar"/>
              </w:rPr>
              <w:t>项目支出绩效自评表</w:t>
            </w:r>
          </w:p>
        </w:tc>
      </w:tr>
      <w:tr>
        <w:tblPrEx>
          <w:tblCellMar>
            <w:top w:w="0" w:type="dxa"/>
            <w:left w:w="0" w:type="dxa"/>
            <w:bottom w:w="0" w:type="dxa"/>
            <w:right w:w="0" w:type="dxa"/>
          </w:tblCellMar>
        </w:tblPrEx>
        <w:trPr>
          <w:trHeight w:val="288" w:hRule="atLeast"/>
        </w:trPr>
        <w:tc>
          <w:tcPr>
            <w:tcW w:w="8834" w:type="dxa"/>
            <w:gridSpan w:val="7"/>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（2022年度）</w:t>
            </w:r>
          </w:p>
        </w:tc>
      </w:tr>
      <w:tr>
        <w:tblPrEx>
          <w:tblCellMar>
            <w:top w:w="0" w:type="dxa"/>
            <w:left w:w="0" w:type="dxa"/>
            <w:bottom w:w="0" w:type="dxa"/>
            <w:right w:w="0" w:type="dxa"/>
          </w:tblCellMar>
        </w:tblPrEx>
        <w:trPr>
          <w:trHeight w:val="27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项目名称</w:t>
            </w:r>
          </w:p>
        </w:tc>
        <w:tc>
          <w:tcPr>
            <w:tcW w:w="705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自治区本级政府购买演出</w:t>
            </w:r>
          </w:p>
        </w:tc>
      </w:tr>
      <w:tr>
        <w:tblPrEx>
          <w:tblCellMar>
            <w:top w:w="0" w:type="dxa"/>
            <w:left w:w="0" w:type="dxa"/>
            <w:bottom w:w="0" w:type="dxa"/>
            <w:right w:w="0" w:type="dxa"/>
          </w:tblCellMar>
        </w:tblPrEx>
        <w:trPr>
          <w:trHeight w:val="27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主管部门</w:t>
            </w:r>
          </w:p>
        </w:tc>
        <w:tc>
          <w:tcPr>
            <w:tcW w:w="422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新疆维吾尔自治区文化和旅游厅</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实施单位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新疆艺术剧院木卡姆艺术团</w:t>
            </w:r>
          </w:p>
        </w:tc>
      </w:tr>
      <w:tr>
        <w:tblPrEx>
          <w:tblCellMar>
            <w:top w:w="0" w:type="dxa"/>
            <w:left w:w="0" w:type="dxa"/>
            <w:bottom w:w="0" w:type="dxa"/>
            <w:right w:w="0" w:type="dxa"/>
          </w:tblCellMar>
        </w:tblPrEx>
        <w:trPr>
          <w:trHeight w:val="276" w:hRule="atLeast"/>
        </w:trPr>
        <w:tc>
          <w:tcPr>
            <w:tcW w:w="17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项目资金</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年初预算数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全年预算数</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全年执行数</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执行率</w:t>
            </w: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年度资金总额</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其中：当年财政拨款</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上年结转资金</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其他资金</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276"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年度总体目标</w:t>
            </w: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预期目标</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实际完成情况</w:t>
            </w:r>
          </w:p>
        </w:tc>
      </w:tr>
      <w:tr>
        <w:tblPrEx>
          <w:tblCellMar>
            <w:top w:w="0" w:type="dxa"/>
            <w:left w:w="0" w:type="dxa"/>
            <w:bottom w:w="0" w:type="dxa"/>
            <w:right w:w="0" w:type="dxa"/>
          </w:tblCellMar>
        </w:tblPrEx>
        <w:trPr>
          <w:trHeight w:val="7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abs>
                <w:tab w:val="left" w:pos="1558"/>
              </w:tabs>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建立政府购买演出机制后，可以弥补职工绩效工资及社保缴费的不足。</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建立政府购买演出机制后，可以弥补职工绩效工资及社保缴费的不足。</w:t>
            </w:r>
          </w:p>
        </w:tc>
      </w:tr>
      <w:tr>
        <w:tblPrEx>
          <w:tblCellMar>
            <w:top w:w="0" w:type="dxa"/>
            <w:left w:w="0" w:type="dxa"/>
            <w:bottom w:w="0" w:type="dxa"/>
            <w:right w:w="0" w:type="dxa"/>
          </w:tblCellMar>
        </w:tblPrEx>
        <w:trPr>
          <w:trHeight w:val="408"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绩效指标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一级指标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二级指标</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三级指标</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年度指标值</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实际完成值</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偏差原因分析及改进措施</w:t>
            </w:r>
          </w:p>
        </w:tc>
      </w:tr>
      <w:tr>
        <w:tblPrEx>
          <w:tblCellMar>
            <w:top w:w="0" w:type="dxa"/>
            <w:left w:w="0" w:type="dxa"/>
            <w:bottom w:w="0" w:type="dxa"/>
            <w:right w:w="0" w:type="dxa"/>
          </w:tblCellMar>
        </w:tblPrEx>
        <w:trPr>
          <w:trHeight w:val="40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产出指标</w:t>
            </w:r>
          </w:p>
        </w:tc>
        <w:tc>
          <w:tcPr>
            <w:tcW w:w="143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数量指标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文化惠民演出（场）</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≥100场</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51场</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受疫情原因</w:t>
            </w: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430" w:type="dxa"/>
            <w:vMerge w:val="continue"/>
            <w:tcBorders>
              <w:left w:val="single" w:color="000000" w:sz="4" w:space="0"/>
              <w:right w:val="single" w:color="000000" w:sz="4" w:space="0"/>
            </w:tcBorders>
            <w:shd w:val="clear" w:color="auto" w:fill="auto"/>
            <w:tcMar>
              <w:top w:w="12" w:type="dxa"/>
              <w:left w:w="12" w:type="dxa"/>
              <w:right w:w="12" w:type="dxa"/>
            </w:tcMar>
            <w:vAlign w:val="top"/>
          </w:tcPr>
          <w:p>
            <w:pPr>
              <w:widowControl/>
              <w:jc w:val="left"/>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全年演出场次（场）</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≥130场</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60场</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受疫情原因</w:t>
            </w: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430" w:type="dxa"/>
            <w:vMerge w:val="continue"/>
            <w:tcBorders>
              <w:left w:val="single" w:color="000000" w:sz="4" w:space="0"/>
              <w:right w:val="single" w:color="000000" w:sz="4" w:space="0"/>
            </w:tcBorders>
            <w:shd w:val="clear" w:color="auto" w:fill="auto"/>
            <w:tcMar>
              <w:top w:w="12" w:type="dxa"/>
              <w:left w:w="12" w:type="dxa"/>
              <w:right w:w="12" w:type="dxa"/>
            </w:tcMar>
            <w:vAlign w:val="top"/>
          </w:tcPr>
          <w:p>
            <w:pPr>
              <w:widowControl/>
              <w:jc w:val="left"/>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弥补工资人数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120人</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120人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43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widowControl/>
              <w:jc w:val="left"/>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发放绩效奖及精神文明奖人数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172人</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120人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43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质量指标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绩效工资发放准确性</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43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艺术下基层任务完成率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0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时效指标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演出活动按时完成率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0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绩效工资发放及时性</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成本指标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人均弥补工资标准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0.67万元/人.年</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0.98万元/人.年</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人均绩效奖及精神文明奖标准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1.8万元/人.年</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2万元/人.年</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6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效益指标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社会效益指标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基层群众对党的惠民政策的认知</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显著提升</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显著提升</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满意度</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服务对象满意度指标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服务对象满意度</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bl>
    <w:p>
      <w:pPr>
        <w:pStyle w:val="2"/>
        <w:jc w:val="both"/>
        <w:rPr>
          <w:rFonts w:hint="eastAsia" w:ascii="宋体" w:hAnsi="宋体" w:eastAsia="宋体" w:cs="宋体"/>
          <w:b w:val="0"/>
          <w:bCs w:val="0"/>
          <w:sz w:val="28"/>
          <w:szCs w:val="28"/>
          <w:highlight w:val="none"/>
        </w:rPr>
      </w:pPr>
    </w:p>
    <w:p>
      <w:pPr>
        <w:pStyle w:val="2"/>
        <w:jc w:val="both"/>
        <w:rPr>
          <w:rFonts w:hint="eastAsia" w:ascii="宋体" w:hAnsi="宋体" w:eastAsia="宋体" w:cs="宋体"/>
          <w:sz w:val="28"/>
          <w:szCs w:val="28"/>
          <w:highlight w:val="none"/>
        </w:rPr>
        <w:sectPr>
          <w:pgSz w:w="11906" w:h="16838"/>
          <w:pgMar w:top="1440" w:right="1558" w:bottom="1440" w:left="1800" w:header="851" w:footer="992" w:gutter="0"/>
          <w:cols w:space="425" w:num="1"/>
          <w:docGrid w:type="lines" w:linePitch="312" w:charSpace="0"/>
        </w:sectPr>
      </w:pPr>
    </w:p>
    <w:p>
      <w:pPr>
        <w:spacing w:line="600" w:lineRule="exact"/>
        <w:rPr>
          <w:rFonts w:hint="eastAsia" w:ascii="宋体" w:hAnsi="宋体" w:eastAsia="宋体" w:cs="宋体"/>
          <w:sz w:val="28"/>
          <w:szCs w:val="28"/>
          <w:highlight w:val="none"/>
        </w:rPr>
      </w:pPr>
      <w:r>
        <w:rPr>
          <w:rFonts w:hint="eastAsia" w:ascii="宋体" w:hAnsi="宋体" w:eastAsia="宋体" w:cs="宋体"/>
          <w:bCs/>
          <w:sz w:val="28"/>
          <w:szCs w:val="28"/>
          <w:highlight w:val="none"/>
        </w:rPr>
        <w:t>附件1</w:t>
      </w:r>
    </w:p>
    <w:p>
      <w:pPr>
        <w:pStyle w:val="18"/>
        <w:ind w:firstLine="562"/>
        <w:jc w:val="center"/>
        <w:rPr>
          <w:rFonts w:hint="eastAsia" w:ascii="宋体" w:hAnsi="宋体" w:eastAsia="宋体" w:cs="宋体"/>
          <w:sz w:val="28"/>
          <w:szCs w:val="28"/>
          <w:highlight w:val="none"/>
        </w:rPr>
      </w:pPr>
      <w:bookmarkStart w:id="3" w:name="_Toc30064_WPSOffice_Level1"/>
      <w:bookmarkStart w:id="4" w:name="_Toc26499_WPSOffice_Level2"/>
      <w:r>
        <w:rPr>
          <w:rFonts w:hint="eastAsia" w:ascii="宋体" w:hAnsi="宋体" w:eastAsia="宋体" w:cs="宋体"/>
          <w:b/>
          <w:bCs/>
          <w:sz w:val="28"/>
          <w:szCs w:val="28"/>
          <w:highlight w:val="none"/>
          <w:lang w:val="en-US" w:eastAsia="zh-CN"/>
        </w:rPr>
        <w:t>自治区本级政府购买演出</w:t>
      </w:r>
      <w:r>
        <w:rPr>
          <w:rFonts w:hint="eastAsia" w:ascii="宋体" w:hAnsi="宋体" w:eastAsia="宋体" w:cs="宋体"/>
          <w:b/>
          <w:bCs/>
          <w:sz w:val="28"/>
          <w:szCs w:val="28"/>
          <w:highlight w:val="none"/>
        </w:rPr>
        <w:t>项目绩效评价指标体系及综合评分表</w:t>
      </w:r>
      <w:bookmarkEnd w:id="3"/>
      <w:bookmarkEnd w:id="4"/>
    </w:p>
    <w:tbl>
      <w:tblPr>
        <w:tblStyle w:val="13"/>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8"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一级指标</w:t>
            </w:r>
          </w:p>
        </w:tc>
        <w:tc>
          <w:tcPr>
            <w:tcW w:w="301"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二级指标</w:t>
            </w:r>
          </w:p>
        </w:tc>
        <w:tc>
          <w:tcPr>
            <w:tcW w:w="344"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三级指标</w:t>
            </w:r>
          </w:p>
        </w:tc>
        <w:tc>
          <w:tcPr>
            <w:tcW w:w="92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指标解释</w:t>
            </w:r>
          </w:p>
        </w:tc>
        <w:tc>
          <w:tcPr>
            <w:tcW w:w="2048"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指标说明</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权重</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8"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决策　</w:t>
            </w: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项目立项　</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立项依据</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充分性</w:t>
            </w:r>
          </w:p>
        </w:tc>
        <w:tc>
          <w:tcPr>
            <w:tcW w:w="927"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项目立项是否符合法律法规、相关政策、发展规划以及部门职责，用以反映和考核项目立项依据情况。</w:t>
            </w:r>
          </w:p>
        </w:tc>
        <w:tc>
          <w:tcPr>
            <w:tcW w:w="2048" w:type="pct"/>
            <w:shd w:val="clear" w:color="auto" w:fill="FFFFFF"/>
            <w:vAlign w:val="center"/>
          </w:tcPr>
          <w:p>
            <w:pPr>
              <w:widowControl/>
              <w:spacing w:line="0" w:lineRule="atLeas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①项目立项是否符合国家法律法规、国民经济发展规划和相关政策；</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②项目立项是否符合行业发展规划和政策要求；</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③项目立项是否与部门职责范围相符，属于部门履职所需；</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④项目是否属于公共财政支持范围，是否符合中央、地方事权支出责任划分原则；</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⑤项目是否与相关部门同类项目或部门内部相关项目重复。</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立项程序</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规范性</w:t>
            </w:r>
          </w:p>
        </w:tc>
        <w:tc>
          <w:tcPr>
            <w:tcW w:w="927"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项目申请、设立过程是否符合相关要求，用以反映和考核项目立项的规范情况。</w:t>
            </w:r>
          </w:p>
        </w:tc>
        <w:tc>
          <w:tcPr>
            <w:tcW w:w="2048" w:type="pct"/>
            <w:shd w:val="clear" w:color="auto" w:fill="FFFFFF"/>
            <w:vAlign w:val="center"/>
          </w:tcPr>
          <w:p>
            <w:pPr>
              <w:widowControl/>
              <w:spacing w:line="0" w:lineRule="atLeas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①项目是否按照规定的程序申请设立；</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②审批文件、材料是否符合相关要求；</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绩效目标　</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绩效目标</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合理性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项目所设定的绩效目标是否依据充分，是否符合客观实际，用以反映和考核项目绩效目标与项目实施的相符情况。</w:t>
            </w:r>
          </w:p>
        </w:tc>
        <w:tc>
          <w:tcPr>
            <w:tcW w:w="2048" w:type="pct"/>
            <w:shd w:val="clear" w:color="000000" w:fill="FFFFFF"/>
            <w:vAlign w:val="center"/>
          </w:tcPr>
          <w:p>
            <w:pPr>
              <w:widowControl/>
              <w:spacing w:line="0" w:lineRule="atLeas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（如未设定预算绩效目标，也可考核其他工作任务目标）</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①项目是否有绩效目标；</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②项目绩效目标与实际工作内容是否具有相关性；</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③项目预期产出效益和效果是否符合正常的业绩水平；</w:t>
            </w:r>
          </w:p>
          <w:p>
            <w:pPr>
              <w:widowControl/>
              <w:spacing w:line="0" w:lineRule="atLeas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④是否与预算确定的项目投资额或资金量相匹配。</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绩效指标</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明确性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依据绩效目标设定的绩效指标是否清晰、细化、可衡量等，用以反映和考核项目绩效目标的明细化情况。</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①是否将项目绩效目标细化分解为具体的绩效指标；</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②是否通过清晰、可衡量的指标值予以体现；</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③是否与项目目标任务数或计划数相对应。</w:t>
            </w:r>
            <w:r>
              <w:rPr>
                <w:rFonts w:hint="eastAsia" w:ascii="宋体" w:hAnsi="宋体" w:eastAsia="宋体" w:cs="宋体"/>
                <w:color w:val="000000"/>
                <w:kern w:val="0"/>
                <w:sz w:val="28"/>
                <w:szCs w:val="28"/>
                <w:highlight w:val="none"/>
              </w:rPr>
              <w:br w:type="textWrapping"/>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资金投入</w:t>
            </w:r>
          </w:p>
          <w:p>
            <w:pPr>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预算编制</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科学性</w:t>
            </w:r>
          </w:p>
        </w:tc>
        <w:tc>
          <w:tcPr>
            <w:tcW w:w="927"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项目预算编制是否经过科学论证、有明确标准，资金额度与年度目标是否相适应，用以反映和考核项目预算编制的科学性、合理性情况。</w:t>
            </w:r>
          </w:p>
        </w:tc>
        <w:tc>
          <w:tcPr>
            <w:tcW w:w="2048"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①预算编制是否经过科学论证；</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②预算内容与项目内容是否匹配；</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③预算额度测算依据是否充分，是否按照标准编制；</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④预算确定的项目投资额或资金量是否与工作任务相匹配。</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资金分配</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合理性</w:t>
            </w:r>
          </w:p>
        </w:tc>
        <w:tc>
          <w:tcPr>
            <w:tcW w:w="927"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项目预算资金分配是否有测算依据，与补助单位或地方实际是否相适应，用以反映和考核项目预算资金分配的科学性、合理性情况。</w:t>
            </w:r>
          </w:p>
        </w:tc>
        <w:tc>
          <w:tcPr>
            <w:tcW w:w="2048"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①预算资金分配依据是否充分；</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②资金分配额度是否合理，与项目单位或地方实际是否相适应。</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8" w:type="pct"/>
            <w:vMerge w:val="restart"/>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过程</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w:t>
            </w: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资金管理</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资金到位率</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实际到位资金与预算资金的比率，用以反映和考核资金落实情况对项目实施的总体保障程度。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资金到位率=（实际到位资金/预算资金）×100%。</w:t>
            </w:r>
          </w:p>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实际到位资金：一定时期（本年度或项目期）内落实到具体项目的资金。</w:t>
            </w:r>
          </w:p>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预算资金：一定时期（本年度或项目期）内预算安排到具体项目的资金。</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预算执行率</w:t>
            </w:r>
          </w:p>
        </w:tc>
        <w:tc>
          <w:tcPr>
            <w:tcW w:w="927"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项目预算资金是否按照计划执行，用以反映或考核项目预算执行情况。</w:t>
            </w:r>
          </w:p>
        </w:tc>
        <w:tc>
          <w:tcPr>
            <w:tcW w:w="2048"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预算执行率=（实际支出资金/实际到位资金）×100%。</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实际支出资金：一定时期（本年度或项目期）内项目实际拨付的资金。</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资金管理</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资金使用</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合规性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项目资金使用是否符合相关的财务管理制度规定，用以反映和考核项目资金的规范运行情况。</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①是否符合国家财经法规和财务管理制度以及有关专项资金管理办法的规定；</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②资金的拨付是否有完整的审批程序和手续；</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③是否符合项目预算批复或合同规定的用途；</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④是否存在截留、挤占、挪用、虚列支出等情况。</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组织实施</w:t>
            </w:r>
          </w:p>
          <w:p>
            <w:pPr>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管理制度</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健全性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项目实施单位的财务和业务管理制度是否健全，用以反映和考核财务和业务管理制度对项目顺利实施的保障情况。</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①是否已制定或具有相应的财务和业务管理制度；</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②财务和业务管理制度是否合法、合规、完整。</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制度执行</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有效性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项目实施是否符合相关管理规定，用以反映和考核相关管理制度的有效执行情况。</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①是否遵守相关法律法规和相关管理规定；</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②项目调整及支出调整手续是否完备；</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③项目合同书、验收报告、技术鉴定等资料是否齐全并及时归档；</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④项目实施的人员条件、场地设备、信息支撑等是否落实到位。</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8"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产出</w:t>
            </w:r>
          </w:p>
        </w:tc>
        <w:tc>
          <w:tcPr>
            <w:tcW w:w="301"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产出数量</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实际完成率</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项目实施的实际产出数与计划产出数的比率，用以反映和考核项目产出数量目标的实现程度。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实际完成率=（实际产出数/计划产出数）×100%。</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实际产出数：一定时期（本年度或项目期）内项目实际产出的产品或提供的服务数量。</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3.35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产出质量</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质量达标率</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项目完成的质量达标产出数与实际产出数的比率，用以反映和考核项目产出质量目标的实现程度。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质量达标率=（质量达标产出数/实际产出数）×100%。</w:t>
            </w:r>
          </w:p>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产出时效</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完成及时性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项目实际完成时间与计划完成时间的比较，用以反映和考核项目产出时效目标的实现程度。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实际完成时间：项目实施单位完成该项目实际所耗用的时间。</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计划完成时间：按照项目实施计划或相关规定完成该项目所需的时间。</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产出成本</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成本节约率</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完成项目计划工作目标的实际节约成本与计划成本的比率，用以反映和考核项目的成本节约程度。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成本节约率=[（计划成本-实际成本）/计划成本]×100%。</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实际成本：项目实施单位如期、保质、保量完成既定工作目标实际所耗费的支出。</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8"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效益　</w:t>
            </w: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项目效益　</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实施效益</w:t>
            </w:r>
          </w:p>
        </w:tc>
        <w:tc>
          <w:tcPr>
            <w:tcW w:w="927" w:type="pct"/>
            <w:shd w:val="clear" w:color="auto" w:fill="FFFFFF"/>
            <w:vAlign w:val="center"/>
          </w:tcPr>
          <w:p>
            <w:pPr>
              <w:widowControl/>
              <w:spacing w:line="0" w:lineRule="atLeas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项目实施所产生的效益。</w:t>
            </w:r>
          </w:p>
        </w:tc>
        <w:tc>
          <w:tcPr>
            <w:tcW w:w="2048"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满意度</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社会公众或服务对象对项目实施效果的满意程度。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10</w:t>
            </w:r>
          </w:p>
        </w:tc>
      </w:tr>
    </w:tbl>
    <w:p>
      <w:pPr>
        <w:rPr>
          <w:rFonts w:hint="eastAsia" w:ascii="宋体" w:hAnsi="宋体" w:eastAsia="宋体" w:cs="宋体"/>
          <w:sz w:val="28"/>
          <w:szCs w:val="28"/>
          <w:highlight w:val="none"/>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粗黑宋简体">
    <w:altName w:val="方正书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853AE"/>
    <w:multiLevelType w:val="singleLevel"/>
    <w:tmpl w:val="E83853AE"/>
    <w:lvl w:ilvl="0" w:tentative="0">
      <w:start w:val="2"/>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6FAA0AB1"/>
    <w:multiLevelType w:val="singleLevel"/>
    <w:tmpl w:val="6FAA0AB1"/>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10760AC"/>
    <w:rsid w:val="017B2F92"/>
    <w:rsid w:val="01E74ACC"/>
    <w:rsid w:val="02111B48"/>
    <w:rsid w:val="02315D47"/>
    <w:rsid w:val="02377801"/>
    <w:rsid w:val="02452C84"/>
    <w:rsid w:val="029C58B6"/>
    <w:rsid w:val="030B6598"/>
    <w:rsid w:val="03510A43"/>
    <w:rsid w:val="043F299D"/>
    <w:rsid w:val="04F01EE9"/>
    <w:rsid w:val="055C132D"/>
    <w:rsid w:val="05BB24F7"/>
    <w:rsid w:val="073267E9"/>
    <w:rsid w:val="07397B77"/>
    <w:rsid w:val="078C4641"/>
    <w:rsid w:val="07D94EB6"/>
    <w:rsid w:val="0828199A"/>
    <w:rsid w:val="08843074"/>
    <w:rsid w:val="08F71A98"/>
    <w:rsid w:val="0AD46655"/>
    <w:rsid w:val="0B36617C"/>
    <w:rsid w:val="0CC003F3"/>
    <w:rsid w:val="0D653006"/>
    <w:rsid w:val="0DF742E8"/>
    <w:rsid w:val="0F384BB8"/>
    <w:rsid w:val="0FC30926"/>
    <w:rsid w:val="0FE20680"/>
    <w:rsid w:val="109776BD"/>
    <w:rsid w:val="10A2678D"/>
    <w:rsid w:val="10B74EC5"/>
    <w:rsid w:val="10D12BCF"/>
    <w:rsid w:val="11967974"/>
    <w:rsid w:val="12916BDC"/>
    <w:rsid w:val="129E4D32"/>
    <w:rsid w:val="12AB11F1"/>
    <w:rsid w:val="12C5225A"/>
    <w:rsid w:val="13053004"/>
    <w:rsid w:val="13471461"/>
    <w:rsid w:val="13B90F01"/>
    <w:rsid w:val="14A30D26"/>
    <w:rsid w:val="15155054"/>
    <w:rsid w:val="15273705"/>
    <w:rsid w:val="156C55BC"/>
    <w:rsid w:val="158E72E0"/>
    <w:rsid w:val="159468C1"/>
    <w:rsid w:val="16302145"/>
    <w:rsid w:val="16832BBD"/>
    <w:rsid w:val="16AE559F"/>
    <w:rsid w:val="16F70EB5"/>
    <w:rsid w:val="17740758"/>
    <w:rsid w:val="177F6E34"/>
    <w:rsid w:val="181066D2"/>
    <w:rsid w:val="187262FE"/>
    <w:rsid w:val="18846779"/>
    <w:rsid w:val="18C1177B"/>
    <w:rsid w:val="19362169"/>
    <w:rsid w:val="194B7296"/>
    <w:rsid w:val="1A0A42DF"/>
    <w:rsid w:val="1AB01AA7"/>
    <w:rsid w:val="1B124510"/>
    <w:rsid w:val="1BA23AE5"/>
    <w:rsid w:val="1BD55F8F"/>
    <w:rsid w:val="1C204A0A"/>
    <w:rsid w:val="1C671E73"/>
    <w:rsid w:val="1D4209B0"/>
    <w:rsid w:val="1D884F5D"/>
    <w:rsid w:val="1D8C1D1C"/>
    <w:rsid w:val="1DB16A76"/>
    <w:rsid w:val="1DE81558"/>
    <w:rsid w:val="1E0A1109"/>
    <w:rsid w:val="1F0D396C"/>
    <w:rsid w:val="1F392E06"/>
    <w:rsid w:val="200B2A58"/>
    <w:rsid w:val="209E05F3"/>
    <w:rsid w:val="21B7196D"/>
    <w:rsid w:val="222B5EB7"/>
    <w:rsid w:val="22806203"/>
    <w:rsid w:val="2338088B"/>
    <w:rsid w:val="238E0DF3"/>
    <w:rsid w:val="239D4B92"/>
    <w:rsid w:val="23C95987"/>
    <w:rsid w:val="23DA5DE6"/>
    <w:rsid w:val="23F073B8"/>
    <w:rsid w:val="25545725"/>
    <w:rsid w:val="258B55EA"/>
    <w:rsid w:val="26062609"/>
    <w:rsid w:val="26170C2C"/>
    <w:rsid w:val="26DD166E"/>
    <w:rsid w:val="274449D4"/>
    <w:rsid w:val="28D9041B"/>
    <w:rsid w:val="293715E5"/>
    <w:rsid w:val="296A19BB"/>
    <w:rsid w:val="298567F4"/>
    <w:rsid w:val="298962E5"/>
    <w:rsid w:val="29B449E4"/>
    <w:rsid w:val="2A5A558B"/>
    <w:rsid w:val="2B2A651C"/>
    <w:rsid w:val="2C8D7C27"/>
    <w:rsid w:val="2CFC0B7C"/>
    <w:rsid w:val="2DA350A6"/>
    <w:rsid w:val="2DF53F49"/>
    <w:rsid w:val="2E073C7C"/>
    <w:rsid w:val="2E334A71"/>
    <w:rsid w:val="2E444588"/>
    <w:rsid w:val="2E982B26"/>
    <w:rsid w:val="2E9B6172"/>
    <w:rsid w:val="2F285C58"/>
    <w:rsid w:val="2F77273B"/>
    <w:rsid w:val="2FCA4F61"/>
    <w:rsid w:val="302D729E"/>
    <w:rsid w:val="308415B4"/>
    <w:rsid w:val="311A5A74"/>
    <w:rsid w:val="319677F1"/>
    <w:rsid w:val="31D252B9"/>
    <w:rsid w:val="32034EF7"/>
    <w:rsid w:val="33613E2E"/>
    <w:rsid w:val="33D97E69"/>
    <w:rsid w:val="34A83397"/>
    <w:rsid w:val="34C86B99"/>
    <w:rsid w:val="351042CD"/>
    <w:rsid w:val="351C625F"/>
    <w:rsid w:val="359F1CEB"/>
    <w:rsid w:val="35F72828"/>
    <w:rsid w:val="3641679E"/>
    <w:rsid w:val="3652180C"/>
    <w:rsid w:val="387B329C"/>
    <w:rsid w:val="38CA40DD"/>
    <w:rsid w:val="395F2B56"/>
    <w:rsid w:val="39F96B6F"/>
    <w:rsid w:val="3A3F02FA"/>
    <w:rsid w:val="3A5628A2"/>
    <w:rsid w:val="3A916DA7"/>
    <w:rsid w:val="3B671EE0"/>
    <w:rsid w:val="3B844B5E"/>
    <w:rsid w:val="3B934DA1"/>
    <w:rsid w:val="3BECE841"/>
    <w:rsid w:val="3C306D0A"/>
    <w:rsid w:val="3CF63839"/>
    <w:rsid w:val="3D204412"/>
    <w:rsid w:val="3D4F6AA6"/>
    <w:rsid w:val="3D87623F"/>
    <w:rsid w:val="3E2026D8"/>
    <w:rsid w:val="3E32264F"/>
    <w:rsid w:val="3E5E3444"/>
    <w:rsid w:val="3F43263A"/>
    <w:rsid w:val="3F9849D8"/>
    <w:rsid w:val="3FB157F6"/>
    <w:rsid w:val="3FF7797D"/>
    <w:rsid w:val="40C41559"/>
    <w:rsid w:val="411D57F5"/>
    <w:rsid w:val="41E9396D"/>
    <w:rsid w:val="426C648E"/>
    <w:rsid w:val="42AC04F6"/>
    <w:rsid w:val="43994F1E"/>
    <w:rsid w:val="44D17F1D"/>
    <w:rsid w:val="44F26327"/>
    <w:rsid w:val="45062140"/>
    <w:rsid w:val="45565565"/>
    <w:rsid w:val="45C61036"/>
    <w:rsid w:val="46690BD8"/>
    <w:rsid w:val="46841EB6"/>
    <w:rsid w:val="46D1677D"/>
    <w:rsid w:val="47A53E92"/>
    <w:rsid w:val="47CA7D9C"/>
    <w:rsid w:val="47F60B91"/>
    <w:rsid w:val="48254FD3"/>
    <w:rsid w:val="484E277B"/>
    <w:rsid w:val="49EC224C"/>
    <w:rsid w:val="49F44C5D"/>
    <w:rsid w:val="4A1E7F2C"/>
    <w:rsid w:val="4B8D2580"/>
    <w:rsid w:val="4BF70A34"/>
    <w:rsid w:val="4BFF5B3B"/>
    <w:rsid w:val="4C942727"/>
    <w:rsid w:val="4D153868"/>
    <w:rsid w:val="4D1C4CF2"/>
    <w:rsid w:val="4F1B6942"/>
    <w:rsid w:val="4F754A92"/>
    <w:rsid w:val="4F9111A0"/>
    <w:rsid w:val="504D50C7"/>
    <w:rsid w:val="51890380"/>
    <w:rsid w:val="522C31CA"/>
    <w:rsid w:val="52E837CD"/>
    <w:rsid w:val="52F263F9"/>
    <w:rsid w:val="541A5C08"/>
    <w:rsid w:val="54FC70BB"/>
    <w:rsid w:val="557642CD"/>
    <w:rsid w:val="565E3715"/>
    <w:rsid w:val="56B714EC"/>
    <w:rsid w:val="572B3C88"/>
    <w:rsid w:val="57340D8E"/>
    <w:rsid w:val="575F654E"/>
    <w:rsid w:val="58FE1654"/>
    <w:rsid w:val="5950230A"/>
    <w:rsid w:val="59714B05"/>
    <w:rsid w:val="5A390534"/>
    <w:rsid w:val="5A5F471A"/>
    <w:rsid w:val="5AA444A2"/>
    <w:rsid w:val="5AB02E22"/>
    <w:rsid w:val="5B9C0FEF"/>
    <w:rsid w:val="5BD40FF2"/>
    <w:rsid w:val="5BFF6039"/>
    <w:rsid w:val="5C297092"/>
    <w:rsid w:val="5CEF1425"/>
    <w:rsid w:val="5D296EBB"/>
    <w:rsid w:val="5D3D68F2"/>
    <w:rsid w:val="5D76A616"/>
    <w:rsid w:val="5D7F20B9"/>
    <w:rsid w:val="5D995DEF"/>
    <w:rsid w:val="5DA41BB5"/>
    <w:rsid w:val="5DAC7D0E"/>
    <w:rsid w:val="5E1B6804"/>
    <w:rsid w:val="5EE95B87"/>
    <w:rsid w:val="5F98B5AF"/>
    <w:rsid w:val="5FB92779"/>
    <w:rsid w:val="5FFE8511"/>
    <w:rsid w:val="5FFEACE2"/>
    <w:rsid w:val="604F6C39"/>
    <w:rsid w:val="606441C0"/>
    <w:rsid w:val="607537E9"/>
    <w:rsid w:val="613A1697"/>
    <w:rsid w:val="61500EBB"/>
    <w:rsid w:val="61613B0D"/>
    <w:rsid w:val="62775FD3"/>
    <w:rsid w:val="631303F2"/>
    <w:rsid w:val="643EE26D"/>
    <w:rsid w:val="657131AE"/>
    <w:rsid w:val="66A355E9"/>
    <w:rsid w:val="67C9107F"/>
    <w:rsid w:val="68F71C1C"/>
    <w:rsid w:val="692549DB"/>
    <w:rsid w:val="69F17567"/>
    <w:rsid w:val="6A1F58CE"/>
    <w:rsid w:val="6A312BF0"/>
    <w:rsid w:val="6A734AE4"/>
    <w:rsid w:val="6A9C2A7B"/>
    <w:rsid w:val="6B1B4C1F"/>
    <w:rsid w:val="6B1D7612"/>
    <w:rsid w:val="6B2018FE"/>
    <w:rsid w:val="6C156F89"/>
    <w:rsid w:val="6DF70609"/>
    <w:rsid w:val="6E0077C5"/>
    <w:rsid w:val="6E0E5A3E"/>
    <w:rsid w:val="6E3A13C4"/>
    <w:rsid w:val="6E4E6782"/>
    <w:rsid w:val="6EBA7973"/>
    <w:rsid w:val="6F5C41AC"/>
    <w:rsid w:val="6FAF6C78"/>
    <w:rsid w:val="700710C5"/>
    <w:rsid w:val="70E84C6C"/>
    <w:rsid w:val="70F27898"/>
    <w:rsid w:val="71F92EA9"/>
    <w:rsid w:val="7317C656"/>
    <w:rsid w:val="7329281D"/>
    <w:rsid w:val="734ED73F"/>
    <w:rsid w:val="73AB3D2F"/>
    <w:rsid w:val="74383E87"/>
    <w:rsid w:val="74E212A9"/>
    <w:rsid w:val="75FE6CDF"/>
    <w:rsid w:val="772C5186"/>
    <w:rsid w:val="775D7A36"/>
    <w:rsid w:val="77FD8BE9"/>
    <w:rsid w:val="78C277FD"/>
    <w:rsid w:val="78D1380D"/>
    <w:rsid w:val="791800B8"/>
    <w:rsid w:val="79A9BD3F"/>
    <w:rsid w:val="79F24465"/>
    <w:rsid w:val="7A40135A"/>
    <w:rsid w:val="7B6B0973"/>
    <w:rsid w:val="7B762E74"/>
    <w:rsid w:val="7BFFFDD0"/>
    <w:rsid w:val="7C140ED7"/>
    <w:rsid w:val="7C224DAA"/>
    <w:rsid w:val="7C336E5F"/>
    <w:rsid w:val="7C4371FA"/>
    <w:rsid w:val="7C99506C"/>
    <w:rsid w:val="7CB133EB"/>
    <w:rsid w:val="7D7A5F86"/>
    <w:rsid w:val="7E292420"/>
    <w:rsid w:val="7E934040"/>
    <w:rsid w:val="7EE92056"/>
    <w:rsid w:val="7EF7251E"/>
    <w:rsid w:val="7EFF9A59"/>
    <w:rsid w:val="7F121106"/>
    <w:rsid w:val="7F37BB4E"/>
    <w:rsid w:val="7F98785D"/>
    <w:rsid w:val="7FB36445"/>
    <w:rsid w:val="7FC56178"/>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9800</Words>
  <Characters>10154</Characters>
  <Lines>58</Lines>
  <Paragraphs>16</Paragraphs>
  <TotalTime>2</TotalTime>
  <ScaleCrop>false</ScaleCrop>
  <LinksUpToDate>false</LinksUpToDate>
  <CharactersWithSpaces>10164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2023-03-08T21:13:00Z</dcterms:created>
  <dc:creator>审核人</dc:creator>
  <cp:lastModifiedBy>wlt</cp:lastModifiedBy>
  <dcterms:modified xsi:type="dcterms:W3CDTF">2024-01-09T12:37:09Z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DEB37354E36D40D48F20A3DAB18895C3</vt:lpwstr>
  </property>
</Properties>
</file>