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A1697">
      <w:pPr>
        <w:spacing w:line="540" w:lineRule="exact"/>
        <w:jc w:val="left"/>
        <w:rPr>
          <w:rFonts w:ascii="黑体" w:hAnsi="黑体" w:eastAsia="黑体" w:cs="黑体"/>
          <w:bCs/>
          <w:kern w:val="0"/>
          <w:sz w:val="32"/>
          <w:szCs w:val="32"/>
        </w:rPr>
      </w:pPr>
      <w:r>
        <w:rPr>
          <w:rFonts w:hint="eastAsia" w:ascii="黑体" w:hAnsi="黑体" w:eastAsia="黑体" w:cs="黑体"/>
          <w:bCs/>
          <w:kern w:val="0"/>
          <w:sz w:val="32"/>
          <w:szCs w:val="32"/>
        </w:rPr>
        <w:t>附件4：</w:t>
      </w:r>
    </w:p>
    <w:p w14:paraId="5A5E923E">
      <w:pPr>
        <w:spacing w:line="540" w:lineRule="exact"/>
        <w:rPr>
          <w:rFonts w:eastAsia="华文中宋"/>
          <w:b/>
          <w:kern w:val="0"/>
          <w:sz w:val="72"/>
          <w:szCs w:val="72"/>
        </w:rPr>
      </w:pPr>
    </w:p>
    <w:p w14:paraId="26D7C042">
      <w:pPr>
        <w:spacing w:line="540" w:lineRule="exact"/>
        <w:jc w:val="center"/>
        <w:rPr>
          <w:rFonts w:eastAsia="华文中宋"/>
          <w:b/>
          <w:kern w:val="0"/>
          <w:sz w:val="52"/>
          <w:szCs w:val="52"/>
        </w:rPr>
      </w:pPr>
    </w:p>
    <w:p w14:paraId="71EE9F83">
      <w:pPr>
        <w:spacing w:line="540" w:lineRule="exact"/>
        <w:jc w:val="center"/>
        <w:rPr>
          <w:rFonts w:eastAsia="华文中宋"/>
          <w:b/>
          <w:kern w:val="0"/>
          <w:sz w:val="52"/>
          <w:szCs w:val="52"/>
        </w:rPr>
      </w:pPr>
    </w:p>
    <w:p w14:paraId="2864DA2C">
      <w:pPr>
        <w:spacing w:line="540" w:lineRule="exact"/>
        <w:jc w:val="center"/>
        <w:rPr>
          <w:rFonts w:eastAsia="方正小标宋_GBK"/>
          <w:kern w:val="0"/>
          <w:sz w:val="48"/>
          <w:szCs w:val="48"/>
        </w:rPr>
      </w:pPr>
      <w:r>
        <w:rPr>
          <w:rFonts w:hint="eastAsia" w:eastAsia="方正小标宋_GBK"/>
          <w:kern w:val="0"/>
          <w:sz w:val="48"/>
          <w:szCs w:val="48"/>
        </w:rPr>
        <w:t>“三馆一站”免费开放自治区配套</w:t>
      </w:r>
      <w:r>
        <w:rPr>
          <w:rFonts w:eastAsia="方正小标宋_GBK"/>
          <w:kern w:val="0"/>
          <w:sz w:val="48"/>
          <w:szCs w:val="48"/>
        </w:rPr>
        <w:t>资金</w:t>
      </w:r>
    </w:p>
    <w:p w14:paraId="2EC18010">
      <w:pPr>
        <w:spacing w:line="540" w:lineRule="exact"/>
        <w:jc w:val="center"/>
        <w:rPr>
          <w:rFonts w:eastAsia="方正小标宋_GBK"/>
          <w:kern w:val="0"/>
          <w:sz w:val="48"/>
          <w:szCs w:val="48"/>
        </w:rPr>
      </w:pPr>
      <w:r>
        <w:rPr>
          <w:rFonts w:eastAsia="方正小标宋_GBK"/>
          <w:kern w:val="0"/>
          <w:sz w:val="48"/>
          <w:szCs w:val="48"/>
        </w:rPr>
        <w:t>支出绩效评价报告</w:t>
      </w:r>
    </w:p>
    <w:p w14:paraId="18F925E5">
      <w:pPr>
        <w:spacing w:line="540" w:lineRule="exact"/>
        <w:jc w:val="center"/>
        <w:rPr>
          <w:rFonts w:eastAsia="华文中宋"/>
          <w:b/>
          <w:kern w:val="0"/>
          <w:sz w:val="52"/>
          <w:szCs w:val="52"/>
        </w:rPr>
      </w:pPr>
    </w:p>
    <w:p w14:paraId="6B408D4D">
      <w:pPr>
        <w:spacing w:line="540" w:lineRule="exact"/>
        <w:jc w:val="center"/>
        <w:rPr>
          <w:rFonts w:hint="eastAsia" w:ascii="CESI仿宋-GB2312" w:hAnsi="CESI仿宋-GB2312" w:eastAsia="CESI仿宋-GB2312" w:cs="CESI仿宋-GB2312"/>
          <w:kern w:val="0"/>
          <w:sz w:val="36"/>
          <w:szCs w:val="36"/>
        </w:rPr>
      </w:pPr>
      <w:r>
        <w:rPr>
          <w:rFonts w:hint="eastAsia" w:ascii="CESI仿宋-GB2312" w:hAnsi="CESI仿宋-GB2312" w:eastAsia="CESI仿宋-GB2312" w:cs="CESI仿宋-GB2312"/>
          <w:kern w:val="0"/>
          <w:sz w:val="36"/>
          <w:szCs w:val="36"/>
        </w:rPr>
        <w:t>（2022年度）</w:t>
      </w:r>
    </w:p>
    <w:p w14:paraId="5FD405C5">
      <w:pPr>
        <w:spacing w:line="540" w:lineRule="exact"/>
        <w:jc w:val="center"/>
        <w:rPr>
          <w:rFonts w:eastAsia="仿宋_GB2312"/>
          <w:kern w:val="0"/>
          <w:sz w:val="30"/>
          <w:szCs w:val="30"/>
        </w:rPr>
      </w:pPr>
    </w:p>
    <w:p w14:paraId="77D243E0">
      <w:pPr>
        <w:spacing w:line="540" w:lineRule="exact"/>
        <w:jc w:val="center"/>
        <w:rPr>
          <w:rFonts w:eastAsia="仿宋_GB2312"/>
          <w:kern w:val="0"/>
          <w:sz w:val="30"/>
          <w:szCs w:val="30"/>
        </w:rPr>
      </w:pPr>
    </w:p>
    <w:p w14:paraId="4499B352">
      <w:pPr>
        <w:spacing w:line="540" w:lineRule="exact"/>
        <w:jc w:val="center"/>
        <w:rPr>
          <w:rFonts w:eastAsia="仿宋_GB2312"/>
          <w:kern w:val="0"/>
          <w:sz w:val="30"/>
          <w:szCs w:val="30"/>
        </w:rPr>
      </w:pPr>
    </w:p>
    <w:p w14:paraId="25F78763">
      <w:pPr>
        <w:spacing w:line="540" w:lineRule="exact"/>
        <w:jc w:val="center"/>
        <w:rPr>
          <w:rFonts w:eastAsia="仿宋_GB2312"/>
          <w:kern w:val="0"/>
          <w:sz w:val="30"/>
          <w:szCs w:val="30"/>
        </w:rPr>
      </w:pPr>
    </w:p>
    <w:p w14:paraId="5B4A55A5">
      <w:pPr>
        <w:spacing w:line="540" w:lineRule="exact"/>
        <w:rPr>
          <w:rFonts w:eastAsia="仿宋_GB2312"/>
          <w:kern w:val="0"/>
          <w:sz w:val="30"/>
          <w:szCs w:val="30"/>
        </w:rPr>
      </w:pPr>
    </w:p>
    <w:p w14:paraId="12541506">
      <w:pPr>
        <w:spacing w:line="700" w:lineRule="exact"/>
        <w:ind w:firstLine="1440" w:firstLineChars="400"/>
        <w:rPr>
          <w:rFonts w:eastAsia="仿宋_GB2312"/>
          <w:kern w:val="0"/>
          <w:sz w:val="36"/>
          <w:szCs w:val="36"/>
        </w:rPr>
      </w:pPr>
      <w:r>
        <w:rPr>
          <w:rFonts w:eastAsia="仿宋_GB2312"/>
          <w:kern w:val="0"/>
          <w:sz w:val="36"/>
          <w:szCs w:val="36"/>
        </w:rPr>
        <w:t>项目名称：</w:t>
      </w:r>
      <w:r>
        <w:rPr>
          <w:rFonts w:hint="eastAsia" w:eastAsia="仿宋_GB2312"/>
          <w:kern w:val="0"/>
          <w:sz w:val="36"/>
          <w:szCs w:val="36"/>
        </w:rPr>
        <w:t>“三馆一站”免费开放</w:t>
      </w:r>
    </w:p>
    <w:p w14:paraId="34C38B0D">
      <w:pPr>
        <w:spacing w:line="700" w:lineRule="exact"/>
        <w:ind w:firstLine="1440" w:firstLineChars="400"/>
        <w:rPr>
          <w:rFonts w:eastAsia="仿宋_GB2312"/>
          <w:kern w:val="0"/>
          <w:sz w:val="36"/>
          <w:szCs w:val="36"/>
        </w:rPr>
      </w:pPr>
      <w:r>
        <w:rPr>
          <w:rFonts w:eastAsia="仿宋_GB2312"/>
          <w:kern w:val="0"/>
          <w:sz w:val="36"/>
          <w:szCs w:val="36"/>
        </w:rPr>
        <w:t>实施单位（公章）：</w:t>
      </w:r>
      <w:r>
        <w:rPr>
          <w:rFonts w:hint="eastAsia" w:eastAsia="仿宋_GB2312"/>
          <w:spacing w:val="1"/>
          <w:w w:val="78"/>
          <w:kern w:val="0"/>
          <w:sz w:val="36"/>
          <w:szCs w:val="36"/>
          <w:fitText w:val="3960" w:id="-1283685632"/>
        </w:rPr>
        <w:t>自治区文化和旅游厅公共服务</w:t>
      </w:r>
      <w:r>
        <w:rPr>
          <w:rFonts w:hint="eastAsia" w:eastAsia="仿宋_GB2312"/>
          <w:spacing w:val="18"/>
          <w:w w:val="78"/>
          <w:kern w:val="0"/>
          <w:sz w:val="36"/>
          <w:szCs w:val="36"/>
          <w:fitText w:val="3960" w:id="-1283685632"/>
        </w:rPr>
        <w:t>处</w:t>
      </w:r>
    </w:p>
    <w:p w14:paraId="0509C5B0">
      <w:pPr>
        <w:spacing w:line="700" w:lineRule="exact"/>
        <w:ind w:firstLine="1440" w:firstLineChars="400"/>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自治区文化和旅游厅</w:t>
      </w:r>
    </w:p>
    <w:p w14:paraId="21060BF0">
      <w:pPr>
        <w:spacing w:line="700" w:lineRule="exact"/>
        <w:ind w:firstLine="1440" w:firstLineChars="400"/>
        <w:rPr>
          <w:rFonts w:hint="eastAsia" w:eastAsia="仿宋_GB2312"/>
          <w:kern w:val="0"/>
          <w:sz w:val="36"/>
          <w:szCs w:val="36"/>
          <w:lang w:eastAsia="zh-CN"/>
        </w:rPr>
      </w:pPr>
      <w:r>
        <w:rPr>
          <w:rFonts w:eastAsia="仿宋_GB2312"/>
          <w:kern w:val="0"/>
          <w:sz w:val="36"/>
          <w:szCs w:val="36"/>
        </w:rPr>
        <w:t>项目负责人（签章）：</w:t>
      </w:r>
      <w:r>
        <w:rPr>
          <w:rFonts w:hint="eastAsia" w:eastAsia="仿宋_GB2312"/>
          <w:kern w:val="0"/>
          <w:sz w:val="36"/>
          <w:szCs w:val="36"/>
          <w:lang w:eastAsia="zh-CN"/>
        </w:rPr>
        <w:t>蒲怀民</w:t>
      </w:r>
    </w:p>
    <w:p w14:paraId="400D0DCE">
      <w:pPr>
        <w:spacing w:line="700" w:lineRule="exact"/>
        <w:ind w:firstLine="1440" w:firstLineChars="400"/>
        <w:rPr>
          <w:rFonts w:hint="eastAsia" w:ascii="CESI仿宋-GB2312" w:hAnsi="CESI仿宋-GB2312" w:eastAsia="CESI仿宋-GB2312" w:cs="CESI仿宋-GB2312"/>
          <w:kern w:val="0"/>
          <w:sz w:val="36"/>
          <w:szCs w:val="36"/>
        </w:rPr>
      </w:pPr>
      <w:r>
        <w:rPr>
          <w:rFonts w:eastAsia="仿宋_GB2312"/>
          <w:kern w:val="0"/>
          <w:sz w:val="36"/>
          <w:szCs w:val="36"/>
        </w:rPr>
        <w:t>填</w:t>
      </w:r>
      <w:r>
        <w:rPr>
          <w:rFonts w:hint="eastAsia" w:ascii="CESI仿宋-GB2312" w:hAnsi="CESI仿宋-GB2312" w:eastAsia="CESI仿宋-GB2312" w:cs="CESI仿宋-GB2312"/>
          <w:kern w:val="0"/>
          <w:sz w:val="36"/>
          <w:szCs w:val="36"/>
        </w:rPr>
        <w:t>报时间：2023年3月17日</w:t>
      </w:r>
    </w:p>
    <w:p w14:paraId="5D898F2D">
      <w:pPr>
        <w:spacing w:line="540" w:lineRule="exact"/>
        <w:jc w:val="center"/>
        <w:rPr>
          <w:rFonts w:eastAsia="仿宋_GB2312"/>
          <w:kern w:val="0"/>
          <w:sz w:val="30"/>
          <w:szCs w:val="30"/>
        </w:rPr>
      </w:pPr>
    </w:p>
    <w:p w14:paraId="4E5FFF75">
      <w:pPr>
        <w:spacing w:line="540" w:lineRule="exact"/>
        <w:rPr>
          <w:rStyle w:val="23"/>
          <w:rFonts w:eastAsia="黑体"/>
          <w:b w:val="0"/>
          <w:spacing w:val="-4"/>
          <w:sz w:val="32"/>
          <w:szCs w:val="32"/>
        </w:rPr>
      </w:pPr>
    </w:p>
    <w:p w14:paraId="71471C9E">
      <w:pPr>
        <w:spacing w:line="540" w:lineRule="exact"/>
        <w:ind w:firstLine="640"/>
        <w:rPr>
          <w:rStyle w:val="23"/>
          <w:rFonts w:eastAsia="黑体"/>
          <w:b w:val="0"/>
          <w:spacing w:val="-4"/>
          <w:sz w:val="32"/>
          <w:szCs w:val="32"/>
        </w:rPr>
      </w:pPr>
    </w:p>
    <w:p w14:paraId="2276FCC4">
      <w:pPr>
        <w:spacing w:line="540" w:lineRule="exact"/>
        <w:rPr>
          <w:rStyle w:val="23"/>
          <w:rFonts w:eastAsia="黑体"/>
          <w:b w:val="0"/>
          <w:spacing w:val="-4"/>
          <w:sz w:val="32"/>
          <w:szCs w:val="32"/>
        </w:rPr>
      </w:pPr>
    </w:p>
    <w:p w14:paraId="378D7352">
      <w:pPr>
        <w:pStyle w:val="2"/>
        <w:jc w:val="both"/>
      </w:pPr>
    </w:p>
    <w:p w14:paraId="29AD50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bCs/>
          <w:sz w:val="32"/>
          <w:szCs w:val="32"/>
        </w:rPr>
      </w:pPr>
      <w:r>
        <w:rPr>
          <w:rFonts w:eastAsia="黑体"/>
          <w:bCs/>
          <w:sz w:val="32"/>
          <w:szCs w:val="32"/>
        </w:rPr>
        <w:t>一、基本情况</w:t>
      </w:r>
    </w:p>
    <w:p w14:paraId="09DB8767">
      <w:pPr>
        <w:keepNext w:val="0"/>
        <w:keepLines w:val="0"/>
        <w:pageBreakBefore w:val="0"/>
        <w:kinsoku/>
        <w:wordWrap/>
        <w:overflowPunct/>
        <w:topLinePunct w:val="0"/>
        <w:autoSpaceDE/>
        <w:autoSpaceDN/>
        <w:bidi w:val="0"/>
        <w:adjustRightInd/>
        <w:snapToGrid/>
        <w:spacing w:line="560" w:lineRule="exact"/>
        <w:ind w:firstLine="641"/>
        <w:textAlignment w:val="auto"/>
        <w:rPr>
          <w:rFonts w:eastAsia="楷体_GB2312"/>
          <w:b/>
          <w:bCs/>
          <w:sz w:val="32"/>
          <w:szCs w:val="32"/>
        </w:rPr>
      </w:pPr>
      <w:r>
        <w:rPr>
          <w:rFonts w:eastAsia="楷体_GB2312"/>
          <w:b/>
          <w:bCs/>
          <w:sz w:val="32"/>
          <w:szCs w:val="32"/>
        </w:rPr>
        <w:t>（一）项目概况</w:t>
      </w:r>
    </w:p>
    <w:p w14:paraId="63341531">
      <w:pPr>
        <w:keepNext w:val="0"/>
        <w:keepLines w:val="0"/>
        <w:pageBreakBefore w:val="0"/>
        <w:kinsoku/>
        <w:wordWrap/>
        <w:overflowPunct/>
        <w:topLinePunct w:val="0"/>
        <w:autoSpaceDE/>
        <w:autoSpaceDN/>
        <w:bidi w:val="0"/>
        <w:adjustRightInd/>
        <w:snapToGrid/>
        <w:spacing w:line="560" w:lineRule="exact"/>
        <w:ind w:firstLine="641"/>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1.项目背景</w:t>
      </w:r>
    </w:p>
    <w:p w14:paraId="641D30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rPr>
      </w:pPr>
      <w:r>
        <w:rPr>
          <w:rFonts w:hint="eastAsia" w:ascii="仿宋_GB2312" w:eastAsia="仿宋_GB2312"/>
          <w:sz w:val="32"/>
          <w:szCs w:val="32"/>
        </w:rPr>
        <w:t>根据《中华人民共和国公共文化服务保障法》，加强公共文化服务体系建设，美术馆、公共图书馆、文化馆（站）（以下简称“三馆一站”）作为政府举办的公益性文化事业单位，是开展公共文化服务的重要载体，更是保障人民群众基本文化权益的重要阵地。按照“增加投入、转换机制、增强活力、改善服务”的原则，将支持免费开放工作与建立公益性文化事业单位经费保障机制紧密结合，确保美术馆、公共图书馆、文化馆（站）免费开放后正常运转并提供基本公共文化服务。</w:t>
      </w:r>
    </w:p>
    <w:p w14:paraId="0DAC73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2.项目主要内容：</w:t>
      </w:r>
    </w:p>
    <w:p w14:paraId="63A645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贯彻落实党中央、自治区党委关于“推进美术馆、图书馆、文化馆（站）免费开放，丰富人民群众的精神文化生活”的要求，充分发挥“三馆一站”在提高公民鉴赏能力、提高各族群众思想道德和科学文化素质的作用，保障各族群众基本权益，促进社会和谐稳定。</w:t>
      </w:r>
    </w:p>
    <w:p w14:paraId="16DA8E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项目实施情况：项目目前已经完成实际设立的目标，</w:t>
      </w:r>
      <w:r>
        <w:rPr>
          <w:rFonts w:hint="eastAsia" w:ascii="仿宋_GB2312" w:eastAsia="仿宋_GB2312"/>
          <w:sz w:val="32"/>
          <w:szCs w:val="32"/>
        </w:rPr>
        <w:t>实现“三馆一站”免费开放100%覆盖率，</w:t>
      </w:r>
      <w:r>
        <w:rPr>
          <w:rFonts w:ascii="仿宋_GB2312" w:eastAsia="仿宋_GB2312"/>
          <w:sz w:val="32"/>
          <w:szCs w:val="32"/>
        </w:rPr>
        <w:t>在实施过程中严格按照目标设立的任务进行开展工作，保证</w:t>
      </w:r>
      <w:r>
        <w:rPr>
          <w:rFonts w:hint="eastAsia" w:ascii="仿宋_GB2312" w:eastAsia="仿宋_GB2312"/>
          <w:sz w:val="32"/>
          <w:szCs w:val="32"/>
        </w:rPr>
        <w:t>项目顺利实施</w:t>
      </w:r>
      <w:r>
        <w:rPr>
          <w:rFonts w:ascii="仿宋_GB2312" w:eastAsia="仿宋_GB2312"/>
          <w:sz w:val="32"/>
          <w:szCs w:val="32"/>
        </w:rPr>
        <w:t>。</w:t>
      </w:r>
    </w:p>
    <w:p w14:paraId="55CF7B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本项目总投资</w:t>
      </w:r>
      <w:r>
        <w:rPr>
          <w:rFonts w:hint="eastAsia" w:ascii="仿宋_GB2312" w:eastAsia="仿宋_GB2312"/>
          <w:sz w:val="32"/>
          <w:szCs w:val="32"/>
        </w:rPr>
        <w:t>1749</w:t>
      </w:r>
      <w:r>
        <w:rPr>
          <w:rFonts w:ascii="仿宋_GB2312" w:eastAsia="仿宋_GB2312"/>
          <w:sz w:val="32"/>
          <w:szCs w:val="32"/>
        </w:rPr>
        <w:t>万元，其中：财政本级资金</w:t>
      </w:r>
      <w:r>
        <w:rPr>
          <w:rFonts w:hint="eastAsia" w:ascii="仿宋_GB2312" w:eastAsia="仿宋_GB2312"/>
          <w:sz w:val="32"/>
          <w:szCs w:val="32"/>
        </w:rPr>
        <w:t>1749</w:t>
      </w:r>
      <w:r>
        <w:rPr>
          <w:rFonts w:ascii="仿宋_GB2312" w:eastAsia="仿宋_GB2312"/>
          <w:sz w:val="32"/>
          <w:szCs w:val="32"/>
        </w:rPr>
        <w:t>万元。项目实际支出</w:t>
      </w:r>
      <w:r>
        <w:rPr>
          <w:rFonts w:hint="eastAsia" w:ascii="仿宋_GB2312" w:eastAsia="仿宋_GB2312"/>
          <w:sz w:val="32"/>
          <w:szCs w:val="32"/>
        </w:rPr>
        <w:t>1364.81</w:t>
      </w:r>
      <w:r>
        <w:rPr>
          <w:rFonts w:ascii="仿宋_GB2312" w:eastAsia="仿宋_GB2312"/>
          <w:sz w:val="32"/>
          <w:szCs w:val="32"/>
        </w:rPr>
        <w:t>万元，支出率为</w:t>
      </w:r>
      <w:r>
        <w:rPr>
          <w:rFonts w:hint="eastAsia" w:ascii="仿宋_GB2312" w:eastAsia="仿宋_GB2312"/>
          <w:sz w:val="32"/>
          <w:szCs w:val="32"/>
        </w:rPr>
        <w:t>78.03</w:t>
      </w:r>
      <w:r>
        <w:rPr>
          <w:rFonts w:ascii="仿宋_GB2312" w:eastAsia="仿宋_GB2312"/>
          <w:sz w:val="32"/>
          <w:szCs w:val="32"/>
        </w:rPr>
        <w:t>%。</w:t>
      </w:r>
    </w:p>
    <w:p w14:paraId="6BC6BD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b/>
          <w:bCs/>
          <w:sz w:val="32"/>
          <w:szCs w:val="32"/>
        </w:rPr>
      </w:pPr>
      <w:r>
        <w:rPr>
          <w:rFonts w:hint="eastAsia" w:ascii="CESI仿宋-GB2312" w:hAnsi="CESI仿宋-GB2312" w:eastAsia="CESI仿宋-GB2312" w:cs="CESI仿宋-GB2312"/>
          <w:b w:val="0"/>
          <w:bCs w:val="0"/>
          <w:sz w:val="32"/>
          <w:szCs w:val="32"/>
        </w:rPr>
        <w:t>3.资金投入和使用情况</w:t>
      </w:r>
    </w:p>
    <w:p w14:paraId="78E46C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20"/>
          <w:szCs w:val="20"/>
        </w:rPr>
      </w:pPr>
      <w:r>
        <w:rPr>
          <w:rFonts w:hint="eastAsia" w:ascii="CESI仿宋-GB2312" w:hAnsi="CESI仿宋-GB2312" w:eastAsia="CESI仿宋-GB2312" w:cs="CESI仿宋-GB2312"/>
          <w:sz w:val="32"/>
          <w:szCs w:val="32"/>
        </w:rPr>
        <w:t>（1）资金</w:t>
      </w:r>
      <w:r>
        <w:rPr>
          <w:rFonts w:eastAsia="仿宋_GB2312"/>
          <w:sz w:val="32"/>
          <w:szCs w:val="32"/>
        </w:rPr>
        <w:t>安排</w:t>
      </w:r>
    </w:p>
    <w:p w14:paraId="4BA049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项目总投资</w:t>
      </w:r>
      <w:r>
        <w:rPr>
          <w:rFonts w:hint="eastAsia" w:ascii="仿宋_GB2312" w:eastAsia="仿宋_GB2312"/>
          <w:sz w:val="32"/>
          <w:szCs w:val="32"/>
        </w:rPr>
        <w:t>1749</w:t>
      </w:r>
      <w:r>
        <w:rPr>
          <w:rFonts w:ascii="仿宋_GB2312" w:eastAsia="仿宋_GB2312"/>
          <w:sz w:val="32"/>
          <w:szCs w:val="32"/>
        </w:rPr>
        <w:t>万元，按照单位财务制度等相关规定，资金支出</w:t>
      </w:r>
      <w:r>
        <w:rPr>
          <w:rFonts w:hint="eastAsia" w:ascii="仿宋_GB2312" w:eastAsia="仿宋_GB2312"/>
          <w:sz w:val="32"/>
          <w:szCs w:val="32"/>
        </w:rPr>
        <w:t>符合</w:t>
      </w:r>
      <w:r>
        <w:rPr>
          <w:rFonts w:hint="eastAsia" w:eastAsia="仿宋_GB2312"/>
          <w:sz w:val="32"/>
          <w:szCs w:val="32"/>
        </w:rPr>
        <w:t>“三馆一站”</w:t>
      </w:r>
      <w:r>
        <w:rPr>
          <w:rFonts w:hint="eastAsia" w:ascii="仿宋_GB2312" w:eastAsia="仿宋_GB2312"/>
          <w:sz w:val="32"/>
          <w:szCs w:val="32"/>
        </w:rPr>
        <w:t>免费开放自治区配套</w:t>
      </w:r>
      <w:r>
        <w:rPr>
          <w:rFonts w:ascii="仿宋_GB2312" w:eastAsia="仿宋_GB2312"/>
          <w:sz w:val="32"/>
          <w:szCs w:val="32"/>
        </w:rPr>
        <w:t>专项资金费用范围，做到了专款专用。在项目资金拨付和使用过程中，为确保项目资金的安全性，提高项目资金使用效率，严格遵循</w:t>
      </w:r>
      <w:r>
        <w:rPr>
          <w:rFonts w:hint="eastAsia" w:eastAsia="仿宋_GB2312"/>
          <w:sz w:val="32"/>
          <w:szCs w:val="32"/>
        </w:rPr>
        <w:t>“三馆一站”</w:t>
      </w:r>
      <w:r>
        <w:rPr>
          <w:rFonts w:hint="eastAsia" w:ascii="仿宋_GB2312" w:eastAsia="仿宋_GB2312"/>
          <w:sz w:val="32"/>
          <w:szCs w:val="32"/>
        </w:rPr>
        <w:t>免费开放自治区配套</w:t>
      </w:r>
      <w:r>
        <w:rPr>
          <w:rFonts w:ascii="仿宋_GB2312" w:eastAsia="仿宋_GB2312"/>
          <w:sz w:val="32"/>
          <w:szCs w:val="32"/>
        </w:rPr>
        <w:t>资金的拨付程序</w:t>
      </w:r>
      <w:r>
        <w:rPr>
          <w:rFonts w:hint="eastAsia" w:ascii="仿宋_GB2312" w:eastAsia="仿宋_GB2312"/>
          <w:sz w:val="32"/>
          <w:szCs w:val="32"/>
        </w:rPr>
        <w:t>，</w:t>
      </w:r>
      <w:r>
        <w:rPr>
          <w:rFonts w:eastAsia="仿宋_GB2312"/>
          <w:sz w:val="32"/>
          <w:szCs w:val="32"/>
        </w:rPr>
        <w:t>根据</w:t>
      </w:r>
      <w:r>
        <w:rPr>
          <w:rFonts w:hint="eastAsia" w:eastAsia="仿宋_GB2312"/>
          <w:sz w:val="32"/>
          <w:szCs w:val="32"/>
        </w:rPr>
        <w:t>资金分配方案</w:t>
      </w:r>
      <w:r>
        <w:rPr>
          <w:rFonts w:eastAsia="仿宋_GB2312"/>
          <w:sz w:val="32"/>
          <w:szCs w:val="32"/>
        </w:rPr>
        <w:t>拨付资金。</w:t>
      </w:r>
    </w:p>
    <w:p w14:paraId="24C815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（2）预算资金来源及使用情况</w:t>
      </w:r>
      <w:bookmarkStart w:id="0" w:name="page10"/>
      <w:bookmarkEnd w:id="0"/>
    </w:p>
    <w:p w14:paraId="55DDBD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b/>
          <w:bCs/>
        </w:rPr>
      </w:pPr>
      <w:r>
        <w:rPr>
          <w:rFonts w:ascii="仿宋_GB2312" w:eastAsia="仿宋_GB2312"/>
          <w:sz w:val="32"/>
          <w:szCs w:val="32"/>
        </w:rPr>
        <w:t>项目预算资金来源于</w:t>
      </w:r>
      <w:r>
        <w:rPr>
          <w:rFonts w:hint="eastAsia" w:ascii="仿宋_GB2312" w:eastAsia="仿宋_GB2312"/>
          <w:sz w:val="32"/>
          <w:szCs w:val="32"/>
        </w:rPr>
        <w:t>自治区财政厅《关于提前下达2022年中央补助地方美术馆、公共图书馆、文化馆（站）免费开放补助资金预算的通知》（新财教〔2021〕217号）和《关于提前下达2022年自治区补助地方美术馆、公共图书馆、文化馆（站）免费开放补助资金预算的通知》（新财教〔2021〕218号）</w:t>
      </w:r>
      <w:r>
        <w:rPr>
          <w:rFonts w:ascii="仿宋_GB2312" w:eastAsia="仿宋_GB2312"/>
          <w:sz w:val="32"/>
          <w:szCs w:val="32"/>
        </w:rPr>
        <w:t>，项目资金到位</w:t>
      </w:r>
      <w:r>
        <w:rPr>
          <w:rFonts w:hint="eastAsia" w:ascii="仿宋_GB2312" w:eastAsia="仿宋_GB2312"/>
          <w:sz w:val="32"/>
          <w:szCs w:val="32"/>
        </w:rPr>
        <w:t>1749</w:t>
      </w:r>
      <w:r>
        <w:rPr>
          <w:rFonts w:ascii="仿宋_GB2312" w:eastAsia="仿宋_GB2312"/>
          <w:sz w:val="32"/>
          <w:szCs w:val="32"/>
        </w:rPr>
        <w:t>万元，</w:t>
      </w:r>
      <w:r>
        <w:rPr>
          <w:rFonts w:hint="eastAsia" w:ascii="仿宋_GB2312" w:eastAsia="仿宋_GB2312"/>
          <w:sz w:val="32"/>
          <w:szCs w:val="32"/>
        </w:rPr>
        <w:t>全年执行1364.81万元，预算执行率为78.03</w:t>
      </w:r>
      <w:r>
        <w:rPr>
          <w:rFonts w:ascii="仿宋_GB2312" w:eastAsia="仿宋_GB2312"/>
          <w:sz w:val="32"/>
          <w:szCs w:val="32"/>
        </w:rPr>
        <w:t>%,</w:t>
      </w:r>
      <w:r>
        <w:rPr>
          <w:rFonts w:hint="eastAsia" w:ascii="仿宋_GB2312" w:eastAsia="仿宋_GB2312"/>
          <w:sz w:val="32"/>
          <w:szCs w:val="32"/>
        </w:rPr>
        <w:t>主要</w:t>
      </w:r>
      <w:r>
        <w:rPr>
          <w:rFonts w:ascii="仿宋_GB2312" w:eastAsia="仿宋_GB2312"/>
          <w:sz w:val="32"/>
          <w:szCs w:val="32"/>
        </w:rPr>
        <w:t>用于支付项目实施进程中的各项费用。</w:t>
      </w:r>
    </w:p>
    <w:p w14:paraId="329AACB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楷体_GB2312"/>
          <w:b/>
          <w:bCs/>
          <w:sz w:val="32"/>
          <w:szCs w:val="32"/>
        </w:rPr>
      </w:pPr>
      <w:r>
        <w:rPr>
          <w:rFonts w:eastAsia="楷体_GB2312"/>
          <w:b/>
          <w:bCs/>
          <w:sz w:val="32"/>
          <w:szCs w:val="32"/>
        </w:rPr>
        <w:t>（二）项目绩效目标</w:t>
      </w:r>
    </w:p>
    <w:p w14:paraId="313897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CESI仿宋-GB2312" w:hAnsi="CESI仿宋-GB2312" w:eastAsia="CESI仿宋-GB2312" w:cs="CESI仿宋-GB2312"/>
          <w:sz w:val="32"/>
          <w:szCs w:val="32"/>
        </w:rPr>
        <w:t>1.</w:t>
      </w:r>
      <w:r>
        <w:rPr>
          <w:rFonts w:eastAsia="仿宋_GB2312"/>
          <w:sz w:val="32"/>
          <w:szCs w:val="32"/>
        </w:rPr>
        <w:t>总体目标</w:t>
      </w:r>
    </w:p>
    <w:p w14:paraId="502123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贯彻落实党中央、自治区党委关于“推进美术馆、图书馆、文化馆（站）免费开放，丰富人民群众的精神文化生活”的要求，充分发挥“三馆一站”在提高公民鉴赏能力、提高各族群众思想道德和科学文化素质的作用，保障各族群众基本权益，促进社会和谐稳定。</w:t>
      </w:r>
    </w:p>
    <w:p w14:paraId="47E20D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CESI仿宋-GB2312" w:hAnsi="CESI仿宋-GB2312" w:eastAsia="CESI仿宋-GB2312" w:cs="CESI仿宋-GB2312"/>
          <w:sz w:val="32"/>
          <w:szCs w:val="32"/>
        </w:rPr>
        <w:t>2.阶段</w:t>
      </w:r>
      <w:r>
        <w:rPr>
          <w:rFonts w:eastAsia="仿宋_GB2312"/>
          <w:sz w:val="32"/>
          <w:szCs w:val="32"/>
        </w:rPr>
        <w:t>性目标</w:t>
      </w:r>
    </w:p>
    <w:p w14:paraId="12D114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CESI仿宋-GB2312" w:hAnsi="CESI仿宋-GB2312" w:eastAsia="CESI仿宋-GB2312" w:cs="CESI仿宋-GB2312"/>
          <w:sz w:val="32"/>
          <w:szCs w:val="32"/>
        </w:rPr>
        <w:t>（1）前期准备：2021年</w:t>
      </w:r>
      <w:r>
        <w:rPr>
          <w:rFonts w:hint="eastAsia" w:eastAsia="仿宋_GB2312"/>
          <w:sz w:val="32"/>
          <w:szCs w:val="32"/>
        </w:rPr>
        <w:t>年底</w:t>
      </w:r>
      <w:r>
        <w:rPr>
          <w:rFonts w:eastAsia="仿宋_GB2312"/>
          <w:sz w:val="32"/>
          <w:szCs w:val="32"/>
        </w:rPr>
        <w:t>制定</w:t>
      </w:r>
      <w:r>
        <w:rPr>
          <w:rFonts w:hint="eastAsia" w:ascii="仿宋_GB2312" w:eastAsia="仿宋_GB2312"/>
          <w:sz w:val="32"/>
          <w:szCs w:val="32"/>
        </w:rPr>
        <w:t>资金分配</w:t>
      </w:r>
      <w:r>
        <w:rPr>
          <w:rFonts w:eastAsia="仿宋_GB2312"/>
          <w:sz w:val="32"/>
          <w:szCs w:val="32"/>
        </w:rPr>
        <w:t>方案，经</w:t>
      </w:r>
      <w:r>
        <w:rPr>
          <w:rFonts w:hint="eastAsia" w:eastAsia="仿宋_GB2312"/>
          <w:sz w:val="32"/>
          <w:szCs w:val="32"/>
        </w:rPr>
        <w:t>自治区文化和旅游厅党组审议</w:t>
      </w:r>
      <w:r>
        <w:rPr>
          <w:rFonts w:eastAsia="仿宋_GB2312"/>
          <w:sz w:val="32"/>
          <w:szCs w:val="32"/>
        </w:rPr>
        <w:t>通过后，有序开展后续工作。</w:t>
      </w:r>
    </w:p>
    <w:p w14:paraId="021997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CESI仿宋-GB2312" w:hAnsi="CESI仿宋-GB2312" w:eastAsia="CESI仿宋-GB2312" w:cs="CESI仿宋-GB2312"/>
          <w:sz w:val="32"/>
          <w:szCs w:val="32"/>
        </w:rPr>
        <w:t>（2）组</w:t>
      </w:r>
      <w:r>
        <w:rPr>
          <w:rFonts w:eastAsia="仿宋_GB2312"/>
          <w:sz w:val="32"/>
          <w:szCs w:val="32"/>
        </w:rPr>
        <w:t>织实施：资金一到位，立即根据项目要求实施项目。</w:t>
      </w:r>
      <w:r>
        <w:rPr>
          <w:rFonts w:hint="eastAsia" w:eastAsia="仿宋_GB2312"/>
          <w:sz w:val="32"/>
          <w:szCs w:val="32"/>
        </w:rPr>
        <w:t>各相关单位</w:t>
      </w:r>
      <w:r>
        <w:rPr>
          <w:rFonts w:eastAsia="仿宋_GB2312"/>
          <w:sz w:val="32"/>
          <w:szCs w:val="32"/>
        </w:rPr>
        <w:t>按照</w:t>
      </w:r>
      <w:r>
        <w:rPr>
          <w:rFonts w:hint="eastAsia" w:eastAsia="仿宋_GB2312"/>
          <w:sz w:val="32"/>
          <w:szCs w:val="32"/>
        </w:rPr>
        <w:t>本地“三馆一站”实际情况逐级</w:t>
      </w:r>
      <w:r>
        <w:rPr>
          <w:rFonts w:eastAsia="仿宋_GB2312"/>
          <w:sz w:val="32"/>
          <w:szCs w:val="32"/>
        </w:rPr>
        <w:t>进行</w:t>
      </w:r>
      <w:r>
        <w:rPr>
          <w:rFonts w:hint="eastAsia" w:eastAsia="仿宋_GB2312"/>
          <w:sz w:val="32"/>
          <w:szCs w:val="32"/>
        </w:rPr>
        <w:t>资金分配</w:t>
      </w:r>
      <w:r>
        <w:rPr>
          <w:rFonts w:eastAsia="仿宋_GB2312"/>
          <w:sz w:val="32"/>
          <w:szCs w:val="32"/>
        </w:rPr>
        <w:t>，提高项目质量及效率性。</w:t>
      </w:r>
    </w:p>
    <w:p w14:paraId="2B1581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二、绩效评价工作开展情况</w:t>
      </w:r>
    </w:p>
    <w:p w14:paraId="2DCE7BD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楷体_GB2312"/>
          <w:b/>
          <w:bCs/>
          <w:sz w:val="32"/>
          <w:szCs w:val="32"/>
        </w:rPr>
      </w:pPr>
      <w:r>
        <w:rPr>
          <w:rFonts w:eastAsia="楷体_GB2312"/>
          <w:b/>
          <w:bCs/>
          <w:sz w:val="32"/>
          <w:szCs w:val="32"/>
        </w:rPr>
        <w:t>（一）绩效评价目的、对象和范围</w:t>
      </w:r>
    </w:p>
    <w:p w14:paraId="5B93C6D4">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1.绩</w:t>
      </w:r>
      <w:r>
        <w:rPr>
          <w:rFonts w:ascii="Times New Roman" w:hAnsi="Times New Roman" w:eastAsia="仿宋_GB2312"/>
          <w:b w:val="0"/>
          <w:bCs w:val="0"/>
        </w:rPr>
        <w:t>效评价的目的</w:t>
      </w:r>
    </w:p>
    <w:p w14:paraId="3678A2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14:paraId="0D327DDF">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2.绩</w:t>
      </w:r>
      <w:r>
        <w:rPr>
          <w:rFonts w:ascii="Times New Roman" w:hAnsi="Times New Roman" w:eastAsia="仿宋_GB2312"/>
          <w:b w:val="0"/>
          <w:bCs w:val="0"/>
        </w:rPr>
        <w:t>效评价的对象</w:t>
      </w:r>
    </w:p>
    <w:p w14:paraId="64D3C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2022年“三馆一站”</w:t>
      </w:r>
      <w:r>
        <w:rPr>
          <w:rFonts w:hint="eastAsia" w:ascii="CESI仿宋-GB2312" w:hAnsi="CESI仿宋-GB2312" w:eastAsia="CESI仿宋-GB2312" w:cs="CESI仿宋-GB2312"/>
          <w:kern w:val="0"/>
          <w:sz w:val="32"/>
          <w:szCs w:val="32"/>
        </w:rPr>
        <w:t>免费开放自治区配套</w:t>
      </w:r>
      <w:r>
        <w:rPr>
          <w:rFonts w:hint="eastAsia" w:ascii="CESI仿宋-GB2312" w:hAnsi="CESI仿宋-GB2312" w:eastAsia="CESI仿宋-GB2312" w:cs="CESI仿宋-GB2312"/>
          <w:sz w:val="32"/>
          <w:szCs w:val="32"/>
        </w:rPr>
        <w:t>专项资金拨付各地州的项目所包含的全部项目建设内容。</w:t>
      </w:r>
    </w:p>
    <w:p w14:paraId="4D4584AB">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3.绩效评价</w:t>
      </w:r>
      <w:r>
        <w:rPr>
          <w:rFonts w:ascii="Times New Roman" w:hAnsi="Times New Roman" w:eastAsia="仿宋_GB2312"/>
          <w:b w:val="0"/>
          <w:bCs w:val="0"/>
        </w:rPr>
        <w:t>的范围</w:t>
      </w:r>
    </w:p>
    <w:p w14:paraId="19CEAD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eastAsia="仿宋_GB2312"/>
          <w:sz w:val="32"/>
          <w:szCs w:val="32"/>
        </w:rPr>
        <w:t>2022年“三馆一站”</w:t>
      </w:r>
      <w:r>
        <w:rPr>
          <w:rFonts w:hint="eastAsia" w:eastAsia="仿宋_GB2312"/>
          <w:kern w:val="0"/>
          <w:sz w:val="32"/>
          <w:szCs w:val="32"/>
        </w:rPr>
        <w:t>免费开放自治区配套</w:t>
      </w:r>
      <w:r>
        <w:rPr>
          <w:rFonts w:eastAsia="仿宋_GB2312"/>
          <w:sz w:val="32"/>
          <w:szCs w:val="32"/>
        </w:rPr>
        <w:t>专项资金</w:t>
      </w:r>
      <w:r>
        <w:rPr>
          <w:rFonts w:hint="eastAsia" w:ascii="仿宋_GB2312" w:hAnsi="仿宋_GB2312" w:eastAsia="仿宋_GB2312" w:cs="仿宋_GB2312"/>
          <w:sz w:val="32"/>
          <w:szCs w:val="32"/>
        </w:rPr>
        <w:t>进行评价，评价核心为专项资金的支出完成情况和效果。</w:t>
      </w:r>
    </w:p>
    <w:p w14:paraId="1250BE81">
      <w:pPr>
        <w:keepNext w:val="0"/>
        <w:keepLines w:val="0"/>
        <w:pageBreakBefore w:val="0"/>
        <w:kinsoku/>
        <w:wordWrap/>
        <w:overflowPunct/>
        <w:topLinePunct w:val="0"/>
        <w:autoSpaceDE/>
        <w:autoSpaceDN/>
        <w:bidi w:val="0"/>
        <w:adjustRightInd/>
        <w:snapToGrid/>
        <w:spacing w:line="560" w:lineRule="exact"/>
        <w:ind w:firstLine="643" w:firstLineChars="200"/>
        <w:textAlignment w:val="auto"/>
      </w:pPr>
      <w:r>
        <w:rPr>
          <w:rFonts w:eastAsia="楷体_GB2312"/>
          <w:b/>
          <w:bCs/>
          <w:sz w:val="32"/>
          <w:szCs w:val="32"/>
        </w:rPr>
        <w:t>（二）绩效评价原则、评价指标体系（详情见表1）、评价方法、评价标准。</w:t>
      </w:r>
    </w:p>
    <w:p w14:paraId="3EF87B56">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rPr>
        <w:t>1.绩效评价原则</w:t>
      </w:r>
    </w:p>
    <w:p w14:paraId="2617A6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ascii="CESI仿宋-GB2312" w:hAnsi="CESI仿宋-GB2312" w:eastAsia="CESI仿宋-GB2312" w:cs="CESI仿宋-GB2312"/>
          <w:color w:val="000000"/>
          <w:sz w:val="32"/>
          <w:szCs w:val="32"/>
        </w:rPr>
        <w:t>本次</w:t>
      </w:r>
      <w:r>
        <w:rPr>
          <w:rFonts w:eastAsia="仿宋_GB2312"/>
          <w:color w:val="000000"/>
          <w:sz w:val="32"/>
          <w:szCs w:val="32"/>
        </w:rPr>
        <w:t>项目绩效评价遵循以下基本原则：</w:t>
      </w:r>
    </w:p>
    <w:p w14:paraId="12CCB483">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（1）科学公正。绩效评价应当运用科学合理的方法，按照规范的程</w:t>
      </w:r>
      <w:r>
        <w:rPr>
          <w:rFonts w:ascii="Times New Roman" w:hAnsi="Times New Roman" w:eastAsia="仿宋_GB2312"/>
          <w:b w:val="0"/>
          <w:bCs w:val="0"/>
        </w:rPr>
        <w:t>序，对项目绩效进行客观、公正的反映。</w:t>
      </w:r>
    </w:p>
    <w:p w14:paraId="69B19B88">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（2）统筹兼顾。单位自评、部门评价和财政评价应职责明确，各有侧</w:t>
      </w:r>
      <w:r>
        <w:rPr>
          <w:rFonts w:ascii="Times New Roman" w:hAnsi="Times New Roman" w:eastAsia="仿宋_GB2312"/>
          <w:b w:val="0"/>
          <w:bCs w:val="0"/>
        </w:rPr>
        <w:t>重，相互衔接。单位自评应由项目单位自主实施，即“谁支出、谁自评”。部门评价和财政评价应在单位自评的基础上开展。</w:t>
      </w:r>
    </w:p>
    <w:p w14:paraId="042A7830">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（3）激</w:t>
      </w:r>
      <w:r>
        <w:rPr>
          <w:rFonts w:ascii="Times New Roman" w:hAnsi="Times New Roman" w:eastAsia="仿宋_GB2312"/>
          <w:b w:val="0"/>
          <w:bCs w:val="0"/>
        </w:rPr>
        <w:t>励约束。绩效评价结果应与预算安排、政策调整、改进管理实质性挂钩，体现奖优罚劣和激励相容导向。</w:t>
      </w:r>
    </w:p>
    <w:p w14:paraId="6B7BF7D2">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（4）公开</w:t>
      </w:r>
      <w:r>
        <w:rPr>
          <w:rFonts w:ascii="Times New Roman" w:hAnsi="Times New Roman" w:eastAsia="仿宋_GB2312"/>
          <w:b w:val="0"/>
          <w:bCs w:val="0"/>
        </w:rPr>
        <w:t>透明。绩效评价结果应依法依规公开，并自觉接受社会监督。</w:t>
      </w:r>
    </w:p>
    <w:p w14:paraId="457CB586">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2.评价指</w:t>
      </w:r>
      <w:r>
        <w:rPr>
          <w:rFonts w:ascii="Times New Roman" w:hAnsi="Times New Roman" w:eastAsia="仿宋_GB2312"/>
          <w:b w:val="0"/>
          <w:bCs w:val="0"/>
        </w:rPr>
        <w:t>标体系</w:t>
      </w:r>
    </w:p>
    <w:p w14:paraId="2E1B4CCF">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ascii="Times New Roman" w:hAnsi="Times New Roman" w:eastAsia="仿宋_GB2312"/>
          <w:b w:val="0"/>
          <w:bCs w:val="0"/>
        </w:rPr>
        <w:t>绩效评价框架是开展绩效评价的核心。绩效评价框架包括评价准则、关键评价问题、评价指标、数据来源、数据收集方法等。指标体系建立过程如下：</w:t>
      </w:r>
    </w:p>
    <w:p w14:paraId="20CB866A">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（1）确</w:t>
      </w:r>
      <w:r>
        <w:rPr>
          <w:rFonts w:ascii="Times New Roman" w:hAnsi="Times New Roman" w:eastAsia="仿宋_GB2312"/>
          <w:b w:val="0"/>
          <w:bCs w:val="0"/>
        </w:rPr>
        <w:t>定评价指标</w:t>
      </w:r>
    </w:p>
    <w:p w14:paraId="4CCFC001">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ascii="Times New Roman" w:hAnsi="Times New Roman" w:eastAsia="仿宋_GB2312"/>
          <w:b w:val="0"/>
          <w:bCs w:val="0"/>
        </w:rPr>
        <w:t>绩效评价将指标分为项目决策指标、项目过程指标、项目产出指标、项目效益指标四个维度，最终形成一个由多个相互联系的指标组成的多层次指标体系。</w:t>
      </w:r>
    </w:p>
    <w:p w14:paraId="7ADD23B4">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（2）</w:t>
      </w:r>
      <w:r>
        <w:rPr>
          <w:rFonts w:ascii="Times New Roman" w:hAnsi="Times New Roman" w:eastAsia="仿宋_GB2312"/>
          <w:b w:val="0"/>
          <w:bCs w:val="0"/>
        </w:rPr>
        <w:t>确定权重</w:t>
      </w:r>
    </w:p>
    <w:p w14:paraId="163D0BCA">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ascii="Times New Roman" w:hAnsi="Times New Roman" w:eastAsia="仿宋_GB2312"/>
          <w:b w:val="0"/>
          <w:bCs w:val="0"/>
        </w:rPr>
        <w:t>确定各个指标相对于</w:t>
      </w:r>
      <w:r>
        <w:rPr>
          <w:rFonts w:hint="eastAsia" w:ascii="CESI仿宋-GB2312" w:hAnsi="CESI仿宋-GB2312" w:eastAsia="CESI仿宋-GB2312" w:cs="CESI仿宋-GB2312"/>
          <w:b w:val="0"/>
          <w:bCs w:val="0"/>
        </w:rPr>
        <w:t>项目总体绩效的权重分值。在绩效评价指标体系中，项目决策权重为5分，项目过程权重为5分，项目产出权重为50分，项目效益权重为40分。</w:t>
      </w:r>
    </w:p>
    <w:p w14:paraId="31320F1C">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rPr>
        <w:t>（3）确定指标标准值</w:t>
      </w:r>
    </w:p>
    <w:p w14:paraId="5A901AEA">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指标标准值</w:t>
      </w:r>
      <w:r>
        <w:rPr>
          <w:rFonts w:ascii="Times New Roman" w:hAnsi="Times New Roman" w:eastAsia="仿宋_GB2312"/>
          <w:b w:val="0"/>
          <w:bCs w:val="0"/>
        </w:rPr>
        <w:t>是绩效评价指标的尺度，既要反映同类项目的先进水平，又要符合项目的实际绩效水平。具体采用计划标准等确定此次绩效评价指标标准值。</w:t>
      </w:r>
    </w:p>
    <w:p w14:paraId="71EE010E">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rPr>
        <w:t>绩效评价总分值100分，根据综合评分结果，评价计分90分-100分（含90分）对应的评分结果级别为优，80-90分（含80分）对应的评分结果级别为良，60-80分（含60分）对应的评分结果级别为中，60分以下对应的评分结果级别为差。</w:t>
      </w:r>
    </w:p>
    <w:p w14:paraId="21CD0CA1">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具体评价指标体系详情见附件1。</w:t>
      </w:r>
    </w:p>
    <w:p w14:paraId="0CEB7748">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rPr>
        <w:t>3.绩效评价方法</w:t>
      </w:r>
    </w:p>
    <w:p w14:paraId="2089FB51">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ascii="Times New Roman" w:hAnsi="Times New Roman" w:eastAsia="仿宋_GB2312"/>
          <w:b w:val="0"/>
          <w:bCs w:val="0"/>
        </w:rPr>
        <w:t>绩效评价从项目决策、项目过程、项目产出、项目效益四个维度进行评价。评价对象为项目目标实施情况，评价核心为资金的支出完成情况和项目的产出效益。</w:t>
      </w:r>
    </w:p>
    <w:p w14:paraId="2B6A23F3">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ascii="Times New Roman" w:hAnsi="Times New Roman" w:eastAsia="仿宋_GB2312"/>
          <w:b w:val="0"/>
          <w:bCs w:val="0"/>
        </w:rPr>
        <w:t>本次评价指标中，既有定性指标又有定量指标，各类指标因考核内容不同和客观标准不同存在较大差异，因此核定具体指标时采用了不同方法，具体评价方法如下：</w:t>
      </w:r>
    </w:p>
    <w:p w14:paraId="7D3E5A59">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rPr>
        <w:t>（1）比较法</w:t>
      </w:r>
    </w:p>
    <w:p w14:paraId="14980649">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ascii="Times New Roman" w:hAnsi="Times New Roman" w:eastAsia="仿宋_GB2312"/>
          <w:b w:val="0"/>
          <w:bCs w:val="0"/>
        </w:rPr>
        <w:t>通过对绩效目标与实施效果、历史与当期情况，综合分析绩效目标实现程度。对项目最终验收情况与年度绩效目标对比、预算资金执行情况等相关因素进行比较。</w:t>
      </w:r>
    </w:p>
    <w:p w14:paraId="139471DF">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rPr>
        <w:t>（2）因素分析法</w:t>
      </w:r>
    </w:p>
    <w:p w14:paraId="0F24B4EB">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通过综合分析影响</w:t>
      </w:r>
      <w:r>
        <w:rPr>
          <w:rFonts w:ascii="Times New Roman" w:hAnsi="Times New Roman" w:eastAsia="仿宋_GB2312"/>
          <w:b w:val="0"/>
          <w:bCs w:val="0"/>
        </w:rPr>
        <w:t>绩效目标实现、实施效果的内外因素，评价绩效目标实现程度。通过对项目的开展情况、项目产出数量、成本控制、资金拨付文件及自评报告等相关资料的收集和审核，综合分析各因素对绩效目标实现的影响。</w:t>
      </w:r>
    </w:p>
    <w:p w14:paraId="5B1C91A5">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CESI仿宋-GB2312" w:hAnsi="CESI仿宋-GB2312" w:eastAsia="CESI仿宋-GB2312" w:cs="CESI仿宋-GB2312"/>
          <w:b w:val="0"/>
          <w:bCs w:val="0"/>
        </w:rPr>
        <w:t>4.评价</w:t>
      </w:r>
      <w:r>
        <w:rPr>
          <w:rFonts w:ascii="Times New Roman" w:hAnsi="Times New Roman" w:eastAsia="仿宋_GB2312"/>
          <w:b w:val="0"/>
          <w:bCs w:val="0"/>
        </w:rPr>
        <w:t>标准</w:t>
      </w:r>
    </w:p>
    <w:p w14:paraId="08551B7C">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楷体" w:hAnsi="楷体" w:eastAsia="楷体" w:cs="楷体"/>
          <w:color w:val="000000"/>
          <w:spacing w:val="17"/>
        </w:rPr>
      </w:pPr>
      <w:r>
        <w:rPr>
          <w:rFonts w:ascii="Times New Roman" w:hAnsi="Times New Roman" w:eastAsia="仿宋_GB2312"/>
          <w:b w:val="0"/>
          <w:bCs w:val="0"/>
        </w:rPr>
        <w:t>绩效评价标准通常包括计划标准、行业标准、历史标准等，用于对绩效指标完成情况进行比较。本次评价主要采用了计划标准和行业标准。</w:t>
      </w:r>
    </w:p>
    <w:p w14:paraId="0E53DEE4">
      <w:pPr>
        <w:pStyle w:val="2"/>
        <w:keepNext w:val="0"/>
        <w:keepLines w:val="0"/>
        <w:pageBreakBefore w:val="0"/>
        <w:kinsoku/>
        <w:wordWrap/>
        <w:overflowPunct/>
        <w:topLinePunct w:val="0"/>
        <w:autoSpaceDE/>
        <w:autoSpaceDN/>
        <w:bidi w:val="0"/>
        <w:adjustRightInd/>
        <w:snapToGrid/>
        <w:spacing w:before="0" w:after="0" w:line="560" w:lineRule="exact"/>
        <w:ind w:left="711"/>
        <w:jc w:val="both"/>
        <w:textAlignment w:val="auto"/>
        <w:rPr>
          <w:rFonts w:ascii="楷体" w:hAnsi="楷体" w:eastAsia="楷体" w:cs="楷体"/>
          <w:color w:val="000000"/>
          <w:spacing w:val="17"/>
        </w:rPr>
      </w:pPr>
      <w:r>
        <w:rPr>
          <w:rFonts w:hint="eastAsia" w:ascii="楷体" w:hAnsi="楷体" w:eastAsia="楷体" w:cs="楷体"/>
          <w:color w:val="000000"/>
          <w:spacing w:val="17"/>
        </w:rPr>
        <w:t>（三）绩效评价工作过程</w:t>
      </w:r>
    </w:p>
    <w:p w14:paraId="39D6CD33">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楷体" w:hAnsi="楷体" w:eastAsia="楷体" w:cs="楷体"/>
          <w:color w:val="000000"/>
          <w:spacing w:val="17"/>
        </w:rPr>
      </w:pPr>
      <w:r>
        <w:rPr>
          <w:rFonts w:hint="eastAsia" w:ascii="CESI仿宋-GB2312" w:hAnsi="CESI仿宋-GB2312" w:eastAsia="CESI仿宋-GB2312" w:cs="CESI仿宋-GB2312"/>
          <w:b w:val="0"/>
          <w:bCs w:val="0"/>
        </w:rPr>
        <w:t>1.</w:t>
      </w:r>
      <w:r>
        <w:rPr>
          <w:rFonts w:hint="eastAsia" w:ascii="Times New Roman" w:hAnsi="Times New Roman" w:eastAsia="仿宋_GB2312"/>
          <w:b w:val="0"/>
          <w:bCs w:val="0"/>
        </w:rPr>
        <w:t>前期准备。明确项目绩效目标，设计绩效评价指标体系并确定绩效评价方法。</w:t>
      </w:r>
    </w:p>
    <w:p w14:paraId="03237193">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楷体" w:hAnsi="楷体" w:eastAsia="楷体" w:cs="楷体"/>
          <w:color w:val="000000"/>
          <w:spacing w:val="17"/>
        </w:rPr>
      </w:pPr>
      <w:r>
        <w:rPr>
          <w:rFonts w:hint="eastAsia" w:ascii="CESI仿宋-GB2312" w:hAnsi="CESI仿宋-GB2312" w:eastAsia="CESI仿宋-GB2312" w:cs="CESI仿宋-GB2312"/>
          <w:b w:val="0"/>
          <w:bCs w:val="0"/>
        </w:rPr>
        <w:t>2.</w:t>
      </w:r>
      <w:r>
        <w:rPr>
          <w:rFonts w:hint="eastAsia" w:ascii="Times New Roman" w:hAnsi="Times New Roman" w:eastAsia="仿宋_GB2312"/>
          <w:b w:val="0"/>
          <w:bCs w:val="0"/>
        </w:rPr>
        <w:t>组织实施。收集各项目实施单位绩效自评报告及自评表，汇总执行免费开放的“三馆一站”相关数据，对各单位实施情况、支付管理情况等进行梳理。</w:t>
      </w:r>
    </w:p>
    <w:p w14:paraId="736AFC7D">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楷体" w:hAnsi="楷体" w:eastAsia="楷体" w:cs="楷体"/>
          <w:color w:val="000000"/>
          <w:spacing w:val="17"/>
        </w:rPr>
      </w:pPr>
      <w:r>
        <w:rPr>
          <w:rFonts w:hint="eastAsia" w:ascii="CESI仿宋-GB2312" w:hAnsi="CESI仿宋-GB2312" w:eastAsia="CESI仿宋-GB2312" w:cs="CESI仿宋-GB2312"/>
          <w:b w:val="0"/>
          <w:bCs w:val="0"/>
        </w:rPr>
        <w:t>3.</w:t>
      </w:r>
      <w:r>
        <w:rPr>
          <w:rFonts w:hint="eastAsia" w:ascii="Times New Roman" w:hAnsi="Times New Roman" w:eastAsia="仿宋_GB2312"/>
          <w:b w:val="0"/>
          <w:bCs w:val="0"/>
        </w:rPr>
        <w:t>分析评价。根据收集梳理的资料围绕项目立项、资金落实、业务管理、项目产出、项目效益等内容，对照已确定的绩效评价指标进行详细全面的分析评价，逐项打分并形成绩效评价最终结果。</w:t>
      </w:r>
    </w:p>
    <w:p w14:paraId="2A1901B9">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综合评价情况及评价结论（附相关评分表）</w:t>
      </w:r>
    </w:p>
    <w:p w14:paraId="537C5FF0">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eastAsia="zh-CN"/>
        </w:rPr>
        <w:t>（</w:t>
      </w:r>
      <w:r>
        <w:rPr>
          <w:rFonts w:hint="eastAsia" w:ascii="Times New Roman" w:hAnsi="Times New Roman" w:eastAsia="楷体_GB2312"/>
          <w:lang w:val="en-US" w:eastAsia="zh-CN"/>
        </w:rPr>
        <w:t>一</w:t>
      </w:r>
      <w:r>
        <w:rPr>
          <w:rFonts w:hint="eastAsia" w:ascii="Times New Roman" w:hAnsi="Times New Roman" w:eastAsia="楷体_GB2312"/>
          <w:lang w:eastAsia="zh-CN"/>
        </w:rPr>
        <w:t>）</w:t>
      </w:r>
      <w:r>
        <w:rPr>
          <w:rFonts w:hint="eastAsia" w:ascii="Times New Roman" w:hAnsi="Times New Roman" w:eastAsia="楷体_GB2312"/>
          <w:lang w:val="en-US" w:eastAsia="zh-CN"/>
        </w:rPr>
        <w:t>评价情况</w:t>
      </w:r>
    </w:p>
    <w:p w14:paraId="4D974C31">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b w:val="0"/>
          <w:bCs w:val="0"/>
          <w:kern w:val="28"/>
          <w:sz w:val="32"/>
          <w:szCs w:val="32"/>
          <w:lang w:val="en-US" w:eastAsia="zh-CN" w:bidi="ar-SA"/>
        </w:rPr>
      </w:pPr>
      <w:r>
        <w:rPr>
          <w:rFonts w:hint="eastAsia" w:ascii="Times New Roman" w:hAnsi="Times New Roman" w:eastAsia="仿宋_GB2312" w:cs="Times New Roman"/>
          <w:b w:val="0"/>
          <w:bCs w:val="0"/>
          <w:kern w:val="28"/>
          <w:sz w:val="32"/>
          <w:szCs w:val="32"/>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14:paraId="1D3B0076">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二</w:t>
      </w: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评价结论</w:t>
      </w:r>
    </w:p>
    <w:p w14:paraId="64E8B4E9">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Times New Roman" w:eastAsia="仿宋_GB2312"/>
          <w:b w:val="0"/>
          <w:bCs w:val="0"/>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eastAsia" w:ascii="仿宋_GB2312" w:hAnsi="Times New Roman" w:eastAsia="仿宋_GB2312"/>
          <w:b w:val="0"/>
          <w:bCs w:val="0"/>
        </w:rPr>
        <w:t>总得分为 95.8分，属于“优”。其中，项目决策类指标权重为20分，得分为 20分，得分率为 100%。项目过程类指标权重为20分，得分为1</w:t>
      </w:r>
      <w:r>
        <w:rPr>
          <w:rFonts w:hint="eastAsia" w:ascii="仿宋_GB2312" w:hAnsi="Times New Roman" w:eastAsia="仿宋_GB2312"/>
          <w:b w:val="0"/>
          <w:bCs w:val="0"/>
          <w:lang w:val="en-US" w:eastAsia="zh-CN"/>
        </w:rPr>
        <w:t>9.12</w:t>
      </w:r>
      <w:r>
        <w:rPr>
          <w:rFonts w:hint="eastAsia" w:ascii="仿宋_GB2312" w:hAnsi="Times New Roman" w:eastAsia="仿宋_GB2312"/>
          <w:b w:val="0"/>
          <w:bCs w:val="0"/>
        </w:rPr>
        <w:t>分，得分率为</w:t>
      </w:r>
      <w:r>
        <w:rPr>
          <w:rFonts w:hint="eastAsia" w:ascii="仿宋_GB2312" w:hAnsi="Times New Roman" w:eastAsia="仿宋_GB2312"/>
          <w:b w:val="0"/>
          <w:bCs w:val="0"/>
          <w:lang w:val="en-US" w:eastAsia="zh-CN"/>
        </w:rPr>
        <w:t>95.6</w:t>
      </w:r>
      <w:r>
        <w:rPr>
          <w:rFonts w:hint="eastAsia" w:ascii="仿宋_GB2312" w:hAnsi="Times New Roman" w:eastAsia="仿宋_GB2312"/>
          <w:b w:val="0"/>
          <w:bCs w:val="0"/>
        </w:rPr>
        <w:t>%。项目产出类指标权重为40分，得分为38分，得分率为 95%。项目效益类指标权重为20分，得分为20分，得分率为100%。</w:t>
      </w:r>
    </w:p>
    <w:p w14:paraId="07D3B78C">
      <w:pPr>
        <w:pStyle w:val="2"/>
        <w:spacing w:line="520" w:lineRule="exact"/>
      </w:pPr>
      <w:r>
        <w:rPr>
          <w:rFonts w:hint="eastAsia" w:ascii="CESI仿宋-GB2312" w:hAnsi="CESI仿宋-GB2312" w:eastAsia="CESI仿宋-GB2312" w:cs="CESI仿宋-GB2312"/>
          <w:sz w:val="30"/>
          <w:szCs w:val="30"/>
        </w:rPr>
        <w:t>表1综合评分表</w:t>
      </w:r>
    </w:p>
    <w:tbl>
      <w:tblPr>
        <w:tblStyle w:val="21"/>
        <w:tblpPr w:leftFromText="180" w:rightFromText="180" w:vertAnchor="text" w:horzAnchor="page" w:tblpXSpec="center" w:tblpY="56"/>
        <w:tblOverlap w:val="never"/>
        <w:tblW w:w="99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0"/>
        <w:gridCol w:w="915"/>
        <w:gridCol w:w="1110"/>
        <w:gridCol w:w="1635"/>
        <w:gridCol w:w="825"/>
        <w:gridCol w:w="1125"/>
        <w:gridCol w:w="1069"/>
        <w:gridCol w:w="1215"/>
        <w:gridCol w:w="960"/>
      </w:tblGrid>
      <w:tr w14:paraId="0B84D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blHeader/>
          <w:jc w:val="center"/>
        </w:trPr>
        <w:tc>
          <w:tcPr>
            <w:tcW w:w="1100" w:type="dxa"/>
            <w:shd w:val="clear" w:color="auto" w:fill="BFBFBF"/>
            <w:vAlign w:val="center"/>
          </w:tcPr>
          <w:p w14:paraId="36EC3695">
            <w:pPr>
              <w:widowControl/>
              <w:spacing w:line="0" w:lineRule="atLeas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一级指标</w:t>
            </w:r>
          </w:p>
        </w:tc>
        <w:tc>
          <w:tcPr>
            <w:tcW w:w="915" w:type="dxa"/>
            <w:shd w:val="clear" w:color="auto" w:fill="BFBFBF"/>
            <w:vAlign w:val="center"/>
          </w:tcPr>
          <w:p w14:paraId="3D2FDF81">
            <w:pPr>
              <w:widowControl/>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分值</w:t>
            </w:r>
          </w:p>
        </w:tc>
        <w:tc>
          <w:tcPr>
            <w:tcW w:w="1110" w:type="dxa"/>
            <w:shd w:val="clear" w:color="auto" w:fill="BFBFBF"/>
            <w:vAlign w:val="center"/>
          </w:tcPr>
          <w:p w14:paraId="634F56EB">
            <w:pPr>
              <w:widowControl/>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二级指标</w:t>
            </w:r>
          </w:p>
        </w:tc>
        <w:tc>
          <w:tcPr>
            <w:tcW w:w="1635" w:type="dxa"/>
            <w:shd w:val="clear" w:color="auto" w:fill="BFBFBF"/>
            <w:vAlign w:val="center"/>
          </w:tcPr>
          <w:p w14:paraId="164946EF">
            <w:pPr>
              <w:widowControl/>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三级指标</w:t>
            </w:r>
          </w:p>
        </w:tc>
        <w:tc>
          <w:tcPr>
            <w:tcW w:w="825" w:type="dxa"/>
            <w:shd w:val="clear" w:color="auto" w:fill="BFBFBF"/>
            <w:vAlign w:val="center"/>
          </w:tcPr>
          <w:p w14:paraId="1448AB23">
            <w:pPr>
              <w:widowControl/>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权重</w:t>
            </w:r>
          </w:p>
        </w:tc>
        <w:tc>
          <w:tcPr>
            <w:tcW w:w="1125" w:type="dxa"/>
            <w:shd w:val="clear" w:color="auto" w:fill="BFBFBF"/>
            <w:vAlign w:val="center"/>
          </w:tcPr>
          <w:p w14:paraId="6DD25A25">
            <w:pPr>
              <w:widowControl/>
              <w:tabs>
                <w:tab w:val="left" w:pos="1333"/>
                <w:tab w:val="center" w:pos="3623"/>
              </w:tabs>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目标值</w:t>
            </w:r>
          </w:p>
        </w:tc>
        <w:tc>
          <w:tcPr>
            <w:tcW w:w="1069" w:type="dxa"/>
            <w:shd w:val="clear" w:color="auto" w:fill="BFBFBF"/>
            <w:vAlign w:val="center"/>
          </w:tcPr>
          <w:p w14:paraId="3107E157">
            <w:pPr>
              <w:widowControl/>
              <w:tabs>
                <w:tab w:val="left" w:pos="1333"/>
                <w:tab w:val="center" w:pos="3623"/>
              </w:tabs>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业绩值</w:t>
            </w:r>
          </w:p>
        </w:tc>
        <w:tc>
          <w:tcPr>
            <w:tcW w:w="1215" w:type="dxa"/>
            <w:shd w:val="clear" w:color="auto" w:fill="BFBFBF"/>
            <w:vAlign w:val="center"/>
          </w:tcPr>
          <w:p w14:paraId="7D1C9B5C">
            <w:pPr>
              <w:widowControl/>
              <w:tabs>
                <w:tab w:val="left" w:pos="1333"/>
                <w:tab w:val="center" w:pos="3623"/>
              </w:tabs>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得分率</w:t>
            </w:r>
          </w:p>
        </w:tc>
        <w:tc>
          <w:tcPr>
            <w:tcW w:w="960" w:type="dxa"/>
            <w:shd w:val="clear" w:color="auto" w:fill="BFBFBF"/>
            <w:vAlign w:val="center"/>
          </w:tcPr>
          <w:p w14:paraId="2E2538CA">
            <w:pPr>
              <w:widowControl/>
              <w:tabs>
                <w:tab w:val="left" w:pos="1333"/>
                <w:tab w:val="center" w:pos="3623"/>
              </w:tabs>
              <w:spacing w:line="0" w:lineRule="atLeas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得分</w:t>
            </w:r>
          </w:p>
        </w:tc>
      </w:tr>
      <w:tr w14:paraId="76D7F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restart"/>
            <w:shd w:val="clear" w:color="auto" w:fill="FFFFFF"/>
            <w:vAlign w:val="center"/>
          </w:tcPr>
          <w:p w14:paraId="510CACC2">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决策　</w:t>
            </w:r>
          </w:p>
          <w:p w14:paraId="1DA4D154">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p w14:paraId="3BDE7248">
            <w:pPr>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p w14:paraId="6B247E4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915" w:type="dxa"/>
            <w:vMerge w:val="restart"/>
            <w:shd w:val="clear" w:color="auto" w:fill="FFFFFF"/>
            <w:vAlign w:val="center"/>
          </w:tcPr>
          <w:p w14:paraId="30BF588C">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20分</w:t>
            </w:r>
          </w:p>
        </w:tc>
        <w:tc>
          <w:tcPr>
            <w:tcW w:w="1110" w:type="dxa"/>
            <w:vMerge w:val="restart"/>
            <w:shd w:val="clear" w:color="auto" w:fill="FFFFFF"/>
            <w:vAlign w:val="center"/>
          </w:tcPr>
          <w:p w14:paraId="07F34C0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项目立项　</w:t>
            </w:r>
          </w:p>
        </w:tc>
        <w:tc>
          <w:tcPr>
            <w:tcW w:w="1635" w:type="dxa"/>
            <w:shd w:val="clear" w:color="auto" w:fill="FFFFFF"/>
            <w:vAlign w:val="center"/>
          </w:tcPr>
          <w:p w14:paraId="58C0757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立项依据</w:t>
            </w:r>
          </w:p>
          <w:p w14:paraId="341877C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充分性</w:t>
            </w:r>
          </w:p>
        </w:tc>
        <w:tc>
          <w:tcPr>
            <w:tcW w:w="825" w:type="dxa"/>
            <w:shd w:val="clear" w:color="auto" w:fill="FFFFFF"/>
            <w:vAlign w:val="center"/>
          </w:tcPr>
          <w:p w14:paraId="6A4FB811">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125" w:type="dxa"/>
            <w:shd w:val="clear" w:color="auto" w:fill="FFFFFF"/>
            <w:vAlign w:val="center"/>
          </w:tcPr>
          <w:p w14:paraId="4A865FC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充分</w:t>
            </w:r>
          </w:p>
        </w:tc>
        <w:tc>
          <w:tcPr>
            <w:tcW w:w="1069" w:type="dxa"/>
            <w:shd w:val="clear" w:color="auto" w:fill="FFFFFF"/>
            <w:vAlign w:val="center"/>
          </w:tcPr>
          <w:p w14:paraId="161756D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充分</w:t>
            </w:r>
          </w:p>
        </w:tc>
        <w:tc>
          <w:tcPr>
            <w:tcW w:w="1215" w:type="dxa"/>
            <w:shd w:val="clear" w:color="auto" w:fill="FFFFFF"/>
            <w:vAlign w:val="center"/>
          </w:tcPr>
          <w:p w14:paraId="3C9C80CB">
            <w:pPr>
              <w:widowControl/>
              <w:spacing w:line="0" w:lineRule="atLeast"/>
              <w:jc w:val="center"/>
              <w:rPr>
                <w:rFonts w:hint="eastAsia" w:asciiTheme="minorEastAsia" w:hAnsiTheme="minorEastAsia" w:eastAsiaTheme="minorEastAsia" w:cstheme="minorEastAsia"/>
                <w:color w:val="000000"/>
                <w:kern w:val="0"/>
                <w:sz w:val="20"/>
                <w:szCs w:val="20"/>
                <w:highlight w:val="yellow"/>
              </w:rPr>
            </w:pPr>
            <w:r>
              <w:rPr>
                <w:rFonts w:hint="eastAsia" w:asciiTheme="minorEastAsia" w:hAnsiTheme="minorEastAsia" w:eastAsiaTheme="minorEastAsia" w:cstheme="minorEastAsia"/>
                <w:color w:val="000000"/>
                <w:kern w:val="0"/>
                <w:sz w:val="20"/>
                <w:szCs w:val="20"/>
              </w:rPr>
              <w:t>100%</w:t>
            </w:r>
          </w:p>
        </w:tc>
        <w:tc>
          <w:tcPr>
            <w:tcW w:w="960" w:type="dxa"/>
            <w:shd w:val="clear" w:color="auto" w:fill="FFFFFF"/>
            <w:vAlign w:val="center"/>
          </w:tcPr>
          <w:p w14:paraId="1CD88C42">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r>
      <w:tr w14:paraId="63B4B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7" w:hRule="atLeast"/>
          <w:jc w:val="center"/>
        </w:trPr>
        <w:tc>
          <w:tcPr>
            <w:tcW w:w="1100" w:type="dxa"/>
            <w:vMerge w:val="continue"/>
            <w:shd w:val="clear" w:color="auto" w:fill="FFFFFF"/>
            <w:vAlign w:val="center"/>
          </w:tcPr>
          <w:p w14:paraId="4755FEF4">
            <w:pPr>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0FF96B58">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continue"/>
            <w:shd w:val="clear" w:color="auto" w:fill="FFFFFF"/>
            <w:vAlign w:val="center"/>
          </w:tcPr>
          <w:p w14:paraId="46F9AE4A">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635" w:type="dxa"/>
            <w:shd w:val="clear" w:color="auto" w:fill="FFFFFF"/>
            <w:vAlign w:val="center"/>
          </w:tcPr>
          <w:p w14:paraId="0AA3AF02">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立项程序</w:t>
            </w:r>
          </w:p>
          <w:p w14:paraId="22B8189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规范性</w:t>
            </w:r>
          </w:p>
        </w:tc>
        <w:tc>
          <w:tcPr>
            <w:tcW w:w="825" w:type="dxa"/>
            <w:shd w:val="clear" w:color="auto" w:fill="FFFFFF"/>
            <w:vAlign w:val="center"/>
          </w:tcPr>
          <w:p w14:paraId="6814B591">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125" w:type="dxa"/>
            <w:shd w:val="clear" w:color="auto" w:fill="FFFFFF"/>
            <w:vAlign w:val="center"/>
          </w:tcPr>
          <w:p w14:paraId="223A673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规范</w:t>
            </w:r>
          </w:p>
        </w:tc>
        <w:tc>
          <w:tcPr>
            <w:tcW w:w="1069" w:type="dxa"/>
            <w:shd w:val="clear" w:color="auto" w:fill="FFFFFF"/>
            <w:vAlign w:val="center"/>
          </w:tcPr>
          <w:p w14:paraId="56B0E6B1">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规范</w:t>
            </w:r>
          </w:p>
        </w:tc>
        <w:tc>
          <w:tcPr>
            <w:tcW w:w="1215" w:type="dxa"/>
            <w:shd w:val="clear" w:color="auto" w:fill="FFFFFF"/>
            <w:vAlign w:val="center"/>
          </w:tcPr>
          <w:p w14:paraId="21B64ED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auto" w:fill="FFFFFF"/>
            <w:vAlign w:val="center"/>
          </w:tcPr>
          <w:p w14:paraId="414A0A4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r>
      <w:tr w14:paraId="69854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continue"/>
            <w:shd w:val="clear" w:color="auto" w:fill="FFFFFF"/>
            <w:vAlign w:val="center"/>
          </w:tcPr>
          <w:p w14:paraId="7FD0D7FE">
            <w:pPr>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7D4DC50E">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restart"/>
            <w:shd w:val="clear" w:color="auto" w:fill="FFFFFF"/>
            <w:vAlign w:val="center"/>
          </w:tcPr>
          <w:p w14:paraId="76EFA6D4">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绩效目标　</w:t>
            </w:r>
          </w:p>
        </w:tc>
        <w:tc>
          <w:tcPr>
            <w:tcW w:w="1635" w:type="dxa"/>
            <w:shd w:val="clear" w:color="auto" w:fill="FFFFFF"/>
            <w:vAlign w:val="center"/>
          </w:tcPr>
          <w:p w14:paraId="6E0A6B7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绩效目标</w:t>
            </w:r>
          </w:p>
          <w:p w14:paraId="6C6A3328">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合理性</w:t>
            </w:r>
          </w:p>
        </w:tc>
        <w:tc>
          <w:tcPr>
            <w:tcW w:w="825" w:type="dxa"/>
            <w:shd w:val="clear" w:color="000000" w:fill="FFFFFF"/>
            <w:vAlign w:val="center"/>
          </w:tcPr>
          <w:p w14:paraId="1B9AF5F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25" w:type="dxa"/>
            <w:shd w:val="clear" w:color="000000" w:fill="FFFFFF"/>
            <w:vAlign w:val="center"/>
          </w:tcPr>
          <w:p w14:paraId="35503D1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w:t>
            </w:r>
          </w:p>
        </w:tc>
        <w:tc>
          <w:tcPr>
            <w:tcW w:w="1069" w:type="dxa"/>
            <w:shd w:val="clear" w:color="000000" w:fill="FFFFFF"/>
            <w:vAlign w:val="center"/>
          </w:tcPr>
          <w:p w14:paraId="557AE78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w:t>
            </w:r>
          </w:p>
        </w:tc>
        <w:tc>
          <w:tcPr>
            <w:tcW w:w="1215" w:type="dxa"/>
            <w:shd w:val="clear" w:color="000000" w:fill="FFFFFF"/>
            <w:vAlign w:val="center"/>
          </w:tcPr>
          <w:p w14:paraId="03E63BF8">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026F38A1">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r>
      <w:tr w14:paraId="2CC83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continue"/>
            <w:shd w:val="clear" w:color="auto" w:fill="FFFFFF"/>
            <w:vAlign w:val="center"/>
          </w:tcPr>
          <w:p w14:paraId="067A214B">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4CE8E5D8">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continue"/>
            <w:shd w:val="clear" w:color="auto" w:fill="FFFFFF"/>
            <w:vAlign w:val="center"/>
          </w:tcPr>
          <w:p w14:paraId="78BAA60B">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635" w:type="dxa"/>
            <w:shd w:val="clear" w:color="auto" w:fill="FFFFFF"/>
            <w:vAlign w:val="center"/>
          </w:tcPr>
          <w:p w14:paraId="403B09A1">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绩效指标</w:t>
            </w:r>
          </w:p>
          <w:p w14:paraId="6D27C31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明确性</w:t>
            </w:r>
          </w:p>
        </w:tc>
        <w:tc>
          <w:tcPr>
            <w:tcW w:w="825" w:type="dxa"/>
            <w:shd w:val="clear" w:color="000000" w:fill="FFFFFF"/>
            <w:vAlign w:val="center"/>
          </w:tcPr>
          <w:p w14:paraId="345A9EB9">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125" w:type="dxa"/>
            <w:shd w:val="clear" w:color="000000" w:fill="FFFFFF"/>
            <w:vAlign w:val="center"/>
          </w:tcPr>
          <w:p w14:paraId="31F147C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明确</w:t>
            </w:r>
          </w:p>
        </w:tc>
        <w:tc>
          <w:tcPr>
            <w:tcW w:w="1069" w:type="dxa"/>
            <w:shd w:val="clear" w:color="000000" w:fill="FFFFFF"/>
            <w:vAlign w:val="center"/>
          </w:tcPr>
          <w:p w14:paraId="2B6BC5C8">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明确</w:t>
            </w:r>
          </w:p>
        </w:tc>
        <w:tc>
          <w:tcPr>
            <w:tcW w:w="1215" w:type="dxa"/>
            <w:shd w:val="clear" w:color="000000" w:fill="FFFFFF"/>
            <w:vAlign w:val="center"/>
          </w:tcPr>
          <w:p w14:paraId="204C96D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1205AA4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r>
      <w:tr w14:paraId="4C329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continue"/>
            <w:shd w:val="clear" w:color="auto" w:fill="FFFFFF"/>
            <w:vAlign w:val="center"/>
          </w:tcPr>
          <w:p w14:paraId="3100F1E8">
            <w:pPr>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5C4D75EB">
            <w:pPr>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restart"/>
            <w:shd w:val="clear" w:color="auto" w:fill="FFFFFF"/>
            <w:vAlign w:val="center"/>
          </w:tcPr>
          <w:p w14:paraId="36071F6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资金投入</w:t>
            </w:r>
          </w:p>
        </w:tc>
        <w:tc>
          <w:tcPr>
            <w:tcW w:w="1635" w:type="dxa"/>
            <w:shd w:val="clear" w:color="auto" w:fill="FFFFFF"/>
            <w:vAlign w:val="center"/>
          </w:tcPr>
          <w:p w14:paraId="512ED04F">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预算编制</w:t>
            </w:r>
          </w:p>
          <w:p w14:paraId="7D55B19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科学性</w:t>
            </w:r>
          </w:p>
        </w:tc>
        <w:tc>
          <w:tcPr>
            <w:tcW w:w="825" w:type="dxa"/>
            <w:shd w:val="clear" w:color="auto" w:fill="FFFFFF"/>
            <w:vAlign w:val="center"/>
          </w:tcPr>
          <w:p w14:paraId="03CC18D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25" w:type="dxa"/>
            <w:shd w:val="clear" w:color="auto" w:fill="FFFFFF"/>
            <w:vAlign w:val="center"/>
          </w:tcPr>
          <w:p w14:paraId="208A644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科学</w:t>
            </w:r>
          </w:p>
        </w:tc>
        <w:tc>
          <w:tcPr>
            <w:tcW w:w="1069" w:type="dxa"/>
            <w:shd w:val="clear" w:color="auto" w:fill="FFFFFF"/>
            <w:vAlign w:val="center"/>
          </w:tcPr>
          <w:p w14:paraId="5DC9A5B8">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科学</w:t>
            </w:r>
          </w:p>
        </w:tc>
        <w:tc>
          <w:tcPr>
            <w:tcW w:w="1215" w:type="dxa"/>
            <w:shd w:val="clear" w:color="auto" w:fill="FFFFFF"/>
            <w:vAlign w:val="center"/>
          </w:tcPr>
          <w:p w14:paraId="69E6933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auto" w:fill="FFFFFF"/>
            <w:vAlign w:val="center"/>
          </w:tcPr>
          <w:p w14:paraId="5A89BF4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r>
      <w:tr w14:paraId="1FAD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continue"/>
            <w:shd w:val="clear" w:color="auto" w:fill="FFFFFF"/>
            <w:vAlign w:val="center"/>
          </w:tcPr>
          <w:p w14:paraId="55D60C04">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4711E2FA">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continue"/>
            <w:shd w:val="clear" w:color="auto" w:fill="FFFFFF"/>
            <w:vAlign w:val="center"/>
          </w:tcPr>
          <w:p w14:paraId="71BA815A">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635" w:type="dxa"/>
            <w:shd w:val="clear" w:color="auto" w:fill="FFFFFF"/>
            <w:vAlign w:val="center"/>
          </w:tcPr>
          <w:p w14:paraId="2187866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资金分配</w:t>
            </w:r>
          </w:p>
          <w:p w14:paraId="55F1335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合理性</w:t>
            </w:r>
          </w:p>
        </w:tc>
        <w:tc>
          <w:tcPr>
            <w:tcW w:w="825" w:type="dxa"/>
            <w:shd w:val="clear" w:color="auto" w:fill="FFFFFF"/>
            <w:vAlign w:val="center"/>
          </w:tcPr>
          <w:p w14:paraId="0363A6E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125" w:type="dxa"/>
            <w:shd w:val="clear" w:color="auto" w:fill="FFFFFF"/>
            <w:vAlign w:val="center"/>
          </w:tcPr>
          <w:p w14:paraId="5BD8151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w:t>
            </w:r>
          </w:p>
        </w:tc>
        <w:tc>
          <w:tcPr>
            <w:tcW w:w="1069" w:type="dxa"/>
            <w:shd w:val="clear" w:color="auto" w:fill="FFFFFF"/>
            <w:vAlign w:val="center"/>
          </w:tcPr>
          <w:p w14:paraId="5060CDA8">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w:t>
            </w:r>
          </w:p>
        </w:tc>
        <w:tc>
          <w:tcPr>
            <w:tcW w:w="1215" w:type="dxa"/>
            <w:shd w:val="clear" w:color="auto" w:fill="FFFFFF"/>
            <w:vAlign w:val="center"/>
          </w:tcPr>
          <w:p w14:paraId="44FB1AF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auto" w:fill="FFFFFF"/>
            <w:vAlign w:val="center"/>
          </w:tcPr>
          <w:p w14:paraId="56F68BEC">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r>
      <w:tr w14:paraId="67518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2" w:hRule="atLeast"/>
          <w:jc w:val="center"/>
        </w:trPr>
        <w:tc>
          <w:tcPr>
            <w:tcW w:w="1100" w:type="dxa"/>
            <w:vMerge w:val="restart"/>
            <w:shd w:val="clear" w:color="auto" w:fill="FFFFFF"/>
            <w:vAlign w:val="center"/>
          </w:tcPr>
          <w:p w14:paraId="0A907FE6">
            <w:pPr>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过程</w:t>
            </w:r>
          </w:p>
          <w:p w14:paraId="17E4E3C8">
            <w:pPr>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915" w:type="dxa"/>
            <w:vMerge w:val="restart"/>
            <w:shd w:val="clear" w:color="auto" w:fill="FFFFFF"/>
            <w:vAlign w:val="center"/>
          </w:tcPr>
          <w:p w14:paraId="641EB4D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20分</w:t>
            </w:r>
          </w:p>
        </w:tc>
        <w:tc>
          <w:tcPr>
            <w:tcW w:w="1110" w:type="dxa"/>
            <w:vMerge w:val="restart"/>
            <w:shd w:val="clear" w:color="auto" w:fill="FFFFFF"/>
            <w:vAlign w:val="center"/>
          </w:tcPr>
          <w:p w14:paraId="75DB154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资金管理</w:t>
            </w:r>
          </w:p>
        </w:tc>
        <w:tc>
          <w:tcPr>
            <w:tcW w:w="1635" w:type="dxa"/>
            <w:shd w:val="clear" w:color="auto" w:fill="FFFFFF"/>
            <w:vAlign w:val="center"/>
          </w:tcPr>
          <w:p w14:paraId="40D3D2D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资金到位率</w:t>
            </w:r>
          </w:p>
        </w:tc>
        <w:tc>
          <w:tcPr>
            <w:tcW w:w="825" w:type="dxa"/>
            <w:shd w:val="clear" w:color="000000" w:fill="FFFFFF"/>
            <w:vAlign w:val="center"/>
          </w:tcPr>
          <w:p w14:paraId="463DF49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25" w:type="dxa"/>
            <w:shd w:val="clear" w:color="000000" w:fill="FFFFFF"/>
            <w:vAlign w:val="center"/>
          </w:tcPr>
          <w:p w14:paraId="1C50697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069" w:type="dxa"/>
            <w:shd w:val="clear" w:color="000000" w:fill="FFFFFF"/>
            <w:vAlign w:val="center"/>
          </w:tcPr>
          <w:p w14:paraId="3B519318">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215" w:type="dxa"/>
            <w:shd w:val="clear" w:color="000000" w:fill="FFFFFF"/>
            <w:vAlign w:val="center"/>
          </w:tcPr>
          <w:p w14:paraId="72F4C09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7DBF125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r>
      <w:tr w14:paraId="78FB8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 w:hRule="atLeast"/>
          <w:jc w:val="center"/>
        </w:trPr>
        <w:tc>
          <w:tcPr>
            <w:tcW w:w="1100" w:type="dxa"/>
            <w:vMerge w:val="continue"/>
            <w:shd w:val="clear" w:color="auto" w:fill="FFFFFF"/>
            <w:vAlign w:val="center"/>
          </w:tcPr>
          <w:p w14:paraId="3DEA5744">
            <w:pPr>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4CFEB7DC">
            <w:pPr>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continue"/>
            <w:shd w:val="clear" w:color="auto" w:fill="FFFFFF"/>
            <w:vAlign w:val="center"/>
          </w:tcPr>
          <w:p w14:paraId="58B23588">
            <w:pPr>
              <w:spacing w:line="0" w:lineRule="atLeast"/>
              <w:jc w:val="center"/>
              <w:rPr>
                <w:rFonts w:hint="eastAsia" w:asciiTheme="minorEastAsia" w:hAnsiTheme="minorEastAsia" w:eastAsiaTheme="minorEastAsia" w:cstheme="minorEastAsia"/>
                <w:color w:val="000000"/>
                <w:kern w:val="0"/>
                <w:sz w:val="20"/>
                <w:szCs w:val="20"/>
              </w:rPr>
            </w:pPr>
          </w:p>
        </w:tc>
        <w:tc>
          <w:tcPr>
            <w:tcW w:w="1635" w:type="dxa"/>
            <w:shd w:val="clear" w:color="auto" w:fill="FFFFFF"/>
            <w:vAlign w:val="center"/>
          </w:tcPr>
          <w:p w14:paraId="7FD85A9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预算执行率</w:t>
            </w:r>
          </w:p>
        </w:tc>
        <w:tc>
          <w:tcPr>
            <w:tcW w:w="825" w:type="dxa"/>
            <w:shd w:val="clear" w:color="auto" w:fill="FFFFFF"/>
            <w:vAlign w:val="center"/>
          </w:tcPr>
          <w:p w14:paraId="72D83B82">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25" w:type="dxa"/>
            <w:shd w:val="clear" w:color="auto" w:fill="FFFFFF"/>
            <w:vAlign w:val="center"/>
          </w:tcPr>
          <w:p w14:paraId="3FFE9BE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069" w:type="dxa"/>
            <w:shd w:val="clear" w:color="auto" w:fill="FFFFFF"/>
            <w:vAlign w:val="center"/>
          </w:tcPr>
          <w:p w14:paraId="164D304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78.03%</w:t>
            </w:r>
          </w:p>
        </w:tc>
        <w:tc>
          <w:tcPr>
            <w:tcW w:w="1215" w:type="dxa"/>
            <w:shd w:val="clear" w:color="auto" w:fill="FFFFFF"/>
            <w:vAlign w:val="center"/>
          </w:tcPr>
          <w:p w14:paraId="0976DC54">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78.03%</w:t>
            </w:r>
          </w:p>
        </w:tc>
        <w:tc>
          <w:tcPr>
            <w:tcW w:w="960" w:type="dxa"/>
            <w:shd w:val="clear" w:color="auto" w:fill="FFFFFF"/>
            <w:vAlign w:val="center"/>
          </w:tcPr>
          <w:p w14:paraId="7F2C1880">
            <w:pPr>
              <w:widowControl/>
              <w:spacing w:line="0" w:lineRule="atLeast"/>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3</w:t>
            </w:r>
            <w:r>
              <w:rPr>
                <w:rFonts w:hint="eastAsia" w:asciiTheme="minorEastAsia" w:hAnsiTheme="minorEastAsia" w:eastAsiaTheme="minorEastAsia" w:cstheme="minorEastAsia"/>
                <w:color w:val="000000"/>
                <w:kern w:val="0"/>
                <w:sz w:val="20"/>
                <w:szCs w:val="20"/>
                <w:lang w:val="en-US" w:eastAsia="zh-CN"/>
              </w:rPr>
              <w:t>.12</w:t>
            </w:r>
          </w:p>
        </w:tc>
      </w:tr>
      <w:tr w14:paraId="74D4D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2" w:hRule="atLeast"/>
          <w:jc w:val="center"/>
        </w:trPr>
        <w:tc>
          <w:tcPr>
            <w:tcW w:w="1100" w:type="dxa"/>
            <w:vMerge w:val="continue"/>
            <w:shd w:val="clear" w:color="auto" w:fill="FFFFFF"/>
            <w:vAlign w:val="center"/>
          </w:tcPr>
          <w:p w14:paraId="0D7ACD78">
            <w:pPr>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2D25EE62">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shd w:val="clear" w:color="auto" w:fill="FFFFFF"/>
            <w:vAlign w:val="center"/>
          </w:tcPr>
          <w:p w14:paraId="64739664">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资金管理</w:t>
            </w:r>
          </w:p>
        </w:tc>
        <w:tc>
          <w:tcPr>
            <w:tcW w:w="1635" w:type="dxa"/>
            <w:shd w:val="clear" w:color="auto" w:fill="FFFFFF"/>
            <w:vAlign w:val="center"/>
          </w:tcPr>
          <w:p w14:paraId="05580B6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资金使用</w:t>
            </w:r>
          </w:p>
          <w:p w14:paraId="0C57BFE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合规性</w:t>
            </w:r>
          </w:p>
        </w:tc>
        <w:tc>
          <w:tcPr>
            <w:tcW w:w="825" w:type="dxa"/>
            <w:shd w:val="clear" w:color="000000" w:fill="FFFFFF"/>
            <w:vAlign w:val="center"/>
          </w:tcPr>
          <w:p w14:paraId="602D99A1">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25" w:type="dxa"/>
            <w:shd w:val="clear" w:color="000000" w:fill="FFFFFF"/>
            <w:vAlign w:val="center"/>
          </w:tcPr>
          <w:p w14:paraId="4679C10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合格</w:t>
            </w:r>
          </w:p>
        </w:tc>
        <w:tc>
          <w:tcPr>
            <w:tcW w:w="1069" w:type="dxa"/>
            <w:shd w:val="clear" w:color="000000" w:fill="FFFFFF"/>
            <w:vAlign w:val="center"/>
          </w:tcPr>
          <w:p w14:paraId="267336A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合格</w:t>
            </w:r>
          </w:p>
        </w:tc>
        <w:tc>
          <w:tcPr>
            <w:tcW w:w="1215" w:type="dxa"/>
            <w:shd w:val="clear" w:color="000000" w:fill="FFFFFF"/>
            <w:vAlign w:val="center"/>
          </w:tcPr>
          <w:p w14:paraId="269CC01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6E4C089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r>
      <w:tr w14:paraId="28FA5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1100" w:type="dxa"/>
            <w:vMerge w:val="continue"/>
            <w:shd w:val="clear" w:color="auto" w:fill="FFFFFF"/>
            <w:vAlign w:val="center"/>
          </w:tcPr>
          <w:p w14:paraId="277DD3D0">
            <w:pPr>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2940BB92">
            <w:pPr>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restart"/>
            <w:shd w:val="clear" w:color="auto" w:fill="FFFFFF"/>
            <w:vAlign w:val="center"/>
          </w:tcPr>
          <w:p w14:paraId="27485DC9">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组织实施</w:t>
            </w:r>
          </w:p>
        </w:tc>
        <w:tc>
          <w:tcPr>
            <w:tcW w:w="1635" w:type="dxa"/>
            <w:shd w:val="clear" w:color="auto" w:fill="FFFFFF"/>
            <w:vAlign w:val="center"/>
          </w:tcPr>
          <w:p w14:paraId="0444CDE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管理制度</w:t>
            </w:r>
          </w:p>
          <w:p w14:paraId="24C9B96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健全性</w:t>
            </w:r>
          </w:p>
        </w:tc>
        <w:tc>
          <w:tcPr>
            <w:tcW w:w="825" w:type="dxa"/>
            <w:shd w:val="clear" w:color="000000" w:fill="FFFFFF"/>
            <w:vAlign w:val="center"/>
          </w:tcPr>
          <w:p w14:paraId="0F7650A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25" w:type="dxa"/>
            <w:shd w:val="clear" w:color="000000" w:fill="FFFFFF"/>
            <w:vAlign w:val="center"/>
          </w:tcPr>
          <w:p w14:paraId="0127FD14">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健全</w:t>
            </w:r>
          </w:p>
        </w:tc>
        <w:tc>
          <w:tcPr>
            <w:tcW w:w="1069" w:type="dxa"/>
            <w:shd w:val="clear" w:color="000000" w:fill="FFFFFF"/>
            <w:vAlign w:val="center"/>
          </w:tcPr>
          <w:p w14:paraId="72E91F0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健全</w:t>
            </w:r>
          </w:p>
        </w:tc>
        <w:tc>
          <w:tcPr>
            <w:tcW w:w="1215" w:type="dxa"/>
            <w:shd w:val="clear" w:color="000000" w:fill="FFFFFF"/>
            <w:vAlign w:val="center"/>
          </w:tcPr>
          <w:p w14:paraId="136B1DB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7A343E2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r>
      <w:tr w14:paraId="6D9B0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continue"/>
            <w:shd w:val="clear" w:color="auto" w:fill="FFFFFF"/>
            <w:vAlign w:val="center"/>
          </w:tcPr>
          <w:p w14:paraId="53282974">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052E3B4E">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continue"/>
            <w:shd w:val="clear" w:color="auto" w:fill="FFFFFF"/>
            <w:vAlign w:val="center"/>
          </w:tcPr>
          <w:p w14:paraId="6271C98D">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635" w:type="dxa"/>
            <w:shd w:val="clear" w:color="auto" w:fill="FFFFFF"/>
            <w:vAlign w:val="center"/>
          </w:tcPr>
          <w:p w14:paraId="6C102A1F">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制度执行</w:t>
            </w:r>
          </w:p>
          <w:p w14:paraId="196482C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有效性</w:t>
            </w:r>
          </w:p>
        </w:tc>
        <w:tc>
          <w:tcPr>
            <w:tcW w:w="825" w:type="dxa"/>
            <w:shd w:val="clear" w:color="000000" w:fill="FFFFFF"/>
            <w:vAlign w:val="center"/>
          </w:tcPr>
          <w:p w14:paraId="2AF48EF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25" w:type="dxa"/>
            <w:shd w:val="clear" w:color="000000" w:fill="FFFFFF"/>
            <w:vAlign w:val="center"/>
          </w:tcPr>
          <w:p w14:paraId="343391E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有效</w:t>
            </w:r>
          </w:p>
        </w:tc>
        <w:tc>
          <w:tcPr>
            <w:tcW w:w="1069" w:type="dxa"/>
            <w:shd w:val="clear" w:color="000000" w:fill="FFFFFF"/>
            <w:vAlign w:val="center"/>
          </w:tcPr>
          <w:p w14:paraId="178575C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有效</w:t>
            </w:r>
          </w:p>
        </w:tc>
        <w:tc>
          <w:tcPr>
            <w:tcW w:w="1215" w:type="dxa"/>
            <w:shd w:val="clear" w:color="000000" w:fill="FFFFFF"/>
            <w:vAlign w:val="center"/>
          </w:tcPr>
          <w:p w14:paraId="44BD468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100</w:t>
            </w:r>
            <w:r>
              <w:rPr>
                <w:rFonts w:hint="eastAsia" w:asciiTheme="minorEastAsia" w:hAnsiTheme="minorEastAsia" w:eastAsiaTheme="minorEastAsia" w:cstheme="minorEastAsia"/>
                <w:color w:val="000000"/>
                <w:kern w:val="0"/>
                <w:sz w:val="20"/>
                <w:szCs w:val="20"/>
              </w:rPr>
              <w:t>%</w:t>
            </w:r>
          </w:p>
        </w:tc>
        <w:tc>
          <w:tcPr>
            <w:tcW w:w="960" w:type="dxa"/>
            <w:shd w:val="clear" w:color="000000" w:fill="FFFFFF"/>
            <w:vAlign w:val="center"/>
          </w:tcPr>
          <w:p w14:paraId="76A262E6">
            <w:pPr>
              <w:widowControl/>
              <w:spacing w:line="0" w:lineRule="atLeast"/>
              <w:jc w:val="center"/>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val="en-US" w:eastAsia="zh-CN"/>
              </w:rPr>
              <w:t>4</w:t>
            </w:r>
          </w:p>
        </w:tc>
      </w:tr>
      <w:tr w14:paraId="66043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1100" w:type="dxa"/>
            <w:vMerge w:val="restart"/>
            <w:shd w:val="clear" w:color="auto" w:fill="FFFFFF"/>
            <w:vAlign w:val="center"/>
          </w:tcPr>
          <w:p w14:paraId="5CC5731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产出</w:t>
            </w:r>
          </w:p>
        </w:tc>
        <w:tc>
          <w:tcPr>
            <w:tcW w:w="915" w:type="dxa"/>
            <w:vMerge w:val="restart"/>
            <w:shd w:val="clear" w:color="auto" w:fill="FFFFFF"/>
            <w:vAlign w:val="center"/>
          </w:tcPr>
          <w:p w14:paraId="35E16B1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40分</w:t>
            </w:r>
          </w:p>
        </w:tc>
        <w:tc>
          <w:tcPr>
            <w:tcW w:w="1110" w:type="dxa"/>
            <w:shd w:val="clear" w:color="auto" w:fill="FFFFFF"/>
            <w:vAlign w:val="center"/>
          </w:tcPr>
          <w:p w14:paraId="65AE83A4">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产出数量</w:t>
            </w:r>
          </w:p>
        </w:tc>
        <w:tc>
          <w:tcPr>
            <w:tcW w:w="1635" w:type="dxa"/>
            <w:shd w:val="clear" w:color="auto" w:fill="FFFFFF"/>
            <w:vAlign w:val="center"/>
          </w:tcPr>
          <w:p w14:paraId="4974BAA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实际完成率</w:t>
            </w:r>
          </w:p>
        </w:tc>
        <w:tc>
          <w:tcPr>
            <w:tcW w:w="825" w:type="dxa"/>
            <w:shd w:val="clear" w:color="000000" w:fill="FFFFFF"/>
            <w:vAlign w:val="center"/>
          </w:tcPr>
          <w:p w14:paraId="4FD353E2">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125" w:type="dxa"/>
            <w:shd w:val="clear" w:color="000000" w:fill="FFFFFF"/>
            <w:vAlign w:val="center"/>
          </w:tcPr>
          <w:p w14:paraId="238A1479">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069" w:type="dxa"/>
            <w:shd w:val="clear" w:color="000000" w:fill="FFFFFF"/>
            <w:vAlign w:val="center"/>
          </w:tcPr>
          <w:p w14:paraId="1377AED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215" w:type="dxa"/>
            <w:shd w:val="clear" w:color="000000" w:fill="FFFFFF"/>
            <w:vAlign w:val="center"/>
          </w:tcPr>
          <w:p w14:paraId="0B36DC6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47958A7F">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r>
      <w:tr w14:paraId="53906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7" w:hRule="atLeast"/>
          <w:jc w:val="center"/>
        </w:trPr>
        <w:tc>
          <w:tcPr>
            <w:tcW w:w="1100" w:type="dxa"/>
            <w:vMerge w:val="continue"/>
            <w:shd w:val="clear" w:color="auto" w:fill="FFFFFF"/>
            <w:vAlign w:val="center"/>
          </w:tcPr>
          <w:p w14:paraId="66BE8C8E">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25CF0CD2">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shd w:val="clear" w:color="auto" w:fill="FFFFFF"/>
            <w:vAlign w:val="center"/>
          </w:tcPr>
          <w:p w14:paraId="0963170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产出质量</w:t>
            </w:r>
          </w:p>
        </w:tc>
        <w:tc>
          <w:tcPr>
            <w:tcW w:w="1635" w:type="dxa"/>
            <w:shd w:val="clear" w:color="auto" w:fill="FFFFFF"/>
            <w:vAlign w:val="center"/>
          </w:tcPr>
          <w:p w14:paraId="712B62A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质量达标率</w:t>
            </w:r>
          </w:p>
        </w:tc>
        <w:tc>
          <w:tcPr>
            <w:tcW w:w="825" w:type="dxa"/>
            <w:shd w:val="clear" w:color="000000" w:fill="FFFFFF"/>
            <w:vAlign w:val="center"/>
          </w:tcPr>
          <w:p w14:paraId="287D370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125" w:type="dxa"/>
            <w:shd w:val="clear" w:color="000000" w:fill="FFFFFF"/>
            <w:vAlign w:val="center"/>
          </w:tcPr>
          <w:p w14:paraId="718CD47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069" w:type="dxa"/>
            <w:shd w:val="clear" w:color="000000" w:fill="FFFFFF"/>
            <w:vAlign w:val="center"/>
          </w:tcPr>
          <w:p w14:paraId="4704B4A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215" w:type="dxa"/>
            <w:shd w:val="clear" w:color="000000" w:fill="FFFFFF"/>
            <w:vAlign w:val="center"/>
          </w:tcPr>
          <w:p w14:paraId="1B8622F2">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90%</w:t>
            </w:r>
          </w:p>
        </w:tc>
        <w:tc>
          <w:tcPr>
            <w:tcW w:w="960" w:type="dxa"/>
            <w:shd w:val="clear" w:color="000000" w:fill="FFFFFF"/>
            <w:vAlign w:val="center"/>
          </w:tcPr>
          <w:p w14:paraId="31BE0C7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w:t>
            </w:r>
          </w:p>
        </w:tc>
      </w:tr>
      <w:tr w14:paraId="1D01D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1100" w:type="dxa"/>
            <w:vMerge w:val="continue"/>
            <w:shd w:val="clear" w:color="auto" w:fill="FFFFFF"/>
            <w:vAlign w:val="center"/>
          </w:tcPr>
          <w:p w14:paraId="79EF1426">
            <w:pPr>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37DAA1A6">
            <w:pPr>
              <w:spacing w:line="0" w:lineRule="atLeast"/>
              <w:jc w:val="center"/>
              <w:rPr>
                <w:rFonts w:hint="eastAsia" w:asciiTheme="minorEastAsia" w:hAnsiTheme="minorEastAsia" w:eastAsiaTheme="minorEastAsia" w:cstheme="minorEastAsia"/>
                <w:color w:val="000000"/>
                <w:kern w:val="0"/>
                <w:sz w:val="20"/>
                <w:szCs w:val="20"/>
              </w:rPr>
            </w:pPr>
          </w:p>
        </w:tc>
        <w:tc>
          <w:tcPr>
            <w:tcW w:w="1110" w:type="dxa"/>
            <w:shd w:val="clear" w:color="auto" w:fill="FFFFFF"/>
            <w:vAlign w:val="center"/>
          </w:tcPr>
          <w:p w14:paraId="4F0770CC">
            <w:pPr>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产出时效</w:t>
            </w:r>
          </w:p>
        </w:tc>
        <w:tc>
          <w:tcPr>
            <w:tcW w:w="1635" w:type="dxa"/>
            <w:shd w:val="clear" w:color="auto" w:fill="FFFFFF"/>
            <w:vAlign w:val="center"/>
          </w:tcPr>
          <w:p w14:paraId="651F4F7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完成及时性</w:t>
            </w:r>
          </w:p>
        </w:tc>
        <w:tc>
          <w:tcPr>
            <w:tcW w:w="825" w:type="dxa"/>
            <w:shd w:val="clear" w:color="000000" w:fill="FFFFFF"/>
            <w:vAlign w:val="center"/>
          </w:tcPr>
          <w:p w14:paraId="461D3E0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125" w:type="dxa"/>
            <w:shd w:val="clear" w:color="000000" w:fill="FFFFFF"/>
            <w:vAlign w:val="center"/>
          </w:tcPr>
          <w:p w14:paraId="518273C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及时</w:t>
            </w:r>
          </w:p>
        </w:tc>
        <w:tc>
          <w:tcPr>
            <w:tcW w:w="1069" w:type="dxa"/>
            <w:shd w:val="clear" w:color="000000" w:fill="FFFFFF"/>
            <w:vAlign w:val="center"/>
          </w:tcPr>
          <w:p w14:paraId="7A25075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及时</w:t>
            </w:r>
          </w:p>
        </w:tc>
        <w:tc>
          <w:tcPr>
            <w:tcW w:w="1215" w:type="dxa"/>
            <w:shd w:val="clear" w:color="000000" w:fill="FFFFFF"/>
            <w:vAlign w:val="center"/>
          </w:tcPr>
          <w:p w14:paraId="597712F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90%</w:t>
            </w:r>
          </w:p>
        </w:tc>
        <w:tc>
          <w:tcPr>
            <w:tcW w:w="960" w:type="dxa"/>
            <w:shd w:val="clear" w:color="000000" w:fill="FFFFFF"/>
            <w:vAlign w:val="center"/>
          </w:tcPr>
          <w:p w14:paraId="58455D6B">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w:t>
            </w:r>
          </w:p>
        </w:tc>
      </w:tr>
      <w:tr w14:paraId="20BEA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continue"/>
            <w:shd w:val="clear" w:color="auto" w:fill="FFFFFF"/>
            <w:vAlign w:val="center"/>
          </w:tcPr>
          <w:p w14:paraId="7B1C5CE9">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126E51B5">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shd w:val="clear" w:color="auto" w:fill="FFFFFF"/>
            <w:vAlign w:val="center"/>
          </w:tcPr>
          <w:p w14:paraId="25BD209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产出成本</w:t>
            </w:r>
          </w:p>
        </w:tc>
        <w:tc>
          <w:tcPr>
            <w:tcW w:w="1635" w:type="dxa"/>
            <w:shd w:val="clear" w:color="auto" w:fill="FFFFFF"/>
            <w:vAlign w:val="center"/>
          </w:tcPr>
          <w:p w14:paraId="5657E50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成本节约率</w:t>
            </w:r>
          </w:p>
        </w:tc>
        <w:tc>
          <w:tcPr>
            <w:tcW w:w="825" w:type="dxa"/>
            <w:shd w:val="clear" w:color="000000" w:fill="FFFFFF"/>
            <w:vAlign w:val="center"/>
          </w:tcPr>
          <w:p w14:paraId="525E52C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125" w:type="dxa"/>
            <w:shd w:val="clear" w:color="000000" w:fill="FFFFFF"/>
            <w:vAlign w:val="center"/>
          </w:tcPr>
          <w:p w14:paraId="3BC0AA2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069" w:type="dxa"/>
            <w:shd w:val="clear" w:color="000000" w:fill="FFFFFF"/>
            <w:vAlign w:val="center"/>
          </w:tcPr>
          <w:p w14:paraId="377D882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215" w:type="dxa"/>
            <w:shd w:val="clear" w:color="000000" w:fill="FFFFFF"/>
            <w:vAlign w:val="center"/>
          </w:tcPr>
          <w:p w14:paraId="4530614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0F39AC58">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r>
      <w:tr w14:paraId="36254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restart"/>
            <w:shd w:val="clear" w:color="auto" w:fill="FFFFFF"/>
            <w:vAlign w:val="center"/>
          </w:tcPr>
          <w:p w14:paraId="309F7619">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效益　</w:t>
            </w:r>
          </w:p>
        </w:tc>
        <w:tc>
          <w:tcPr>
            <w:tcW w:w="915" w:type="dxa"/>
            <w:vMerge w:val="restart"/>
            <w:shd w:val="clear" w:color="auto" w:fill="FFFFFF"/>
            <w:vAlign w:val="center"/>
          </w:tcPr>
          <w:p w14:paraId="490AB05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20分</w:t>
            </w:r>
          </w:p>
        </w:tc>
        <w:tc>
          <w:tcPr>
            <w:tcW w:w="1110" w:type="dxa"/>
            <w:vMerge w:val="restart"/>
            <w:shd w:val="clear" w:color="auto" w:fill="FFFFFF"/>
            <w:vAlign w:val="center"/>
          </w:tcPr>
          <w:p w14:paraId="738095A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项目效益　</w:t>
            </w:r>
          </w:p>
        </w:tc>
        <w:tc>
          <w:tcPr>
            <w:tcW w:w="1635" w:type="dxa"/>
            <w:shd w:val="clear" w:color="auto" w:fill="FFFFFF"/>
            <w:vAlign w:val="center"/>
          </w:tcPr>
          <w:p w14:paraId="00C0F93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实施效益</w:t>
            </w:r>
          </w:p>
          <w:p w14:paraId="1B1266F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（社会效益、经济效益、可持续效益）</w:t>
            </w:r>
          </w:p>
        </w:tc>
        <w:tc>
          <w:tcPr>
            <w:tcW w:w="825" w:type="dxa"/>
            <w:shd w:val="clear" w:color="auto" w:fill="FFFFFF"/>
            <w:vAlign w:val="center"/>
          </w:tcPr>
          <w:p w14:paraId="38E05E56">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w:t>
            </w:r>
          </w:p>
        </w:tc>
        <w:tc>
          <w:tcPr>
            <w:tcW w:w="1125" w:type="dxa"/>
            <w:shd w:val="clear" w:color="auto" w:fill="FFFFFF"/>
            <w:vAlign w:val="center"/>
          </w:tcPr>
          <w:p w14:paraId="5A27EE9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有效</w:t>
            </w:r>
          </w:p>
        </w:tc>
        <w:tc>
          <w:tcPr>
            <w:tcW w:w="1069" w:type="dxa"/>
            <w:shd w:val="clear" w:color="auto" w:fill="FFFFFF"/>
            <w:vAlign w:val="center"/>
          </w:tcPr>
          <w:p w14:paraId="3A543ED0">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有效</w:t>
            </w:r>
          </w:p>
        </w:tc>
        <w:tc>
          <w:tcPr>
            <w:tcW w:w="1215" w:type="dxa"/>
            <w:shd w:val="clear" w:color="auto" w:fill="FFFFFF"/>
            <w:vAlign w:val="center"/>
          </w:tcPr>
          <w:p w14:paraId="08583203">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auto" w:fill="FFFFFF"/>
            <w:vAlign w:val="center"/>
          </w:tcPr>
          <w:p w14:paraId="4556C1F5">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w:t>
            </w:r>
          </w:p>
        </w:tc>
      </w:tr>
      <w:tr w14:paraId="051C9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0" w:type="dxa"/>
            <w:vMerge w:val="continue"/>
            <w:shd w:val="clear" w:color="auto" w:fill="FFFFFF"/>
            <w:vAlign w:val="center"/>
          </w:tcPr>
          <w:p w14:paraId="0BA4BD79">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915" w:type="dxa"/>
            <w:vMerge w:val="continue"/>
            <w:shd w:val="clear" w:color="auto" w:fill="FFFFFF"/>
            <w:vAlign w:val="center"/>
          </w:tcPr>
          <w:p w14:paraId="62B7A2D6">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110" w:type="dxa"/>
            <w:vMerge w:val="continue"/>
            <w:shd w:val="clear" w:color="auto" w:fill="FFFFFF"/>
            <w:vAlign w:val="center"/>
          </w:tcPr>
          <w:p w14:paraId="67E6ECA5">
            <w:pPr>
              <w:widowControl/>
              <w:spacing w:line="0" w:lineRule="atLeast"/>
              <w:jc w:val="center"/>
              <w:rPr>
                <w:rFonts w:hint="eastAsia" w:asciiTheme="minorEastAsia" w:hAnsiTheme="minorEastAsia" w:eastAsiaTheme="minorEastAsia" w:cstheme="minorEastAsia"/>
                <w:color w:val="000000"/>
                <w:kern w:val="0"/>
                <w:sz w:val="20"/>
                <w:szCs w:val="20"/>
              </w:rPr>
            </w:pPr>
          </w:p>
        </w:tc>
        <w:tc>
          <w:tcPr>
            <w:tcW w:w="1635" w:type="dxa"/>
            <w:shd w:val="clear" w:color="auto" w:fill="FFFFFF"/>
            <w:vAlign w:val="center"/>
          </w:tcPr>
          <w:p w14:paraId="6E4F6A3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满意度</w:t>
            </w:r>
          </w:p>
        </w:tc>
        <w:tc>
          <w:tcPr>
            <w:tcW w:w="825" w:type="dxa"/>
            <w:shd w:val="clear" w:color="000000" w:fill="FFFFFF"/>
            <w:vAlign w:val="center"/>
          </w:tcPr>
          <w:p w14:paraId="22D019C7">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125" w:type="dxa"/>
            <w:shd w:val="clear" w:color="000000" w:fill="FFFFFF"/>
            <w:vAlign w:val="center"/>
          </w:tcPr>
          <w:p w14:paraId="6FC3AD17">
            <w:pPr>
              <w:widowControl/>
              <w:spacing w:line="0" w:lineRule="atLeast"/>
              <w:jc w:val="center"/>
              <w:rPr>
                <w:rFonts w:hint="eastAsia" w:asciiTheme="minorEastAsia" w:hAnsiTheme="minorEastAsia" w:eastAsiaTheme="minorEastAsia" w:cstheme="minorEastAsia"/>
                <w:color w:val="000000"/>
                <w:kern w:val="0"/>
                <w:sz w:val="20"/>
                <w:szCs w:val="20"/>
                <w:highlight w:val="yellow"/>
              </w:rPr>
            </w:pPr>
            <w:r>
              <w:rPr>
                <w:rFonts w:hint="eastAsia" w:asciiTheme="minorEastAsia" w:hAnsiTheme="minorEastAsia" w:eastAsiaTheme="minorEastAsia" w:cstheme="minorEastAsia"/>
                <w:color w:val="000000"/>
                <w:kern w:val="0"/>
                <w:sz w:val="20"/>
                <w:szCs w:val="20"/>
              </w:rPr>
              <w:t>≥85%</w:t>
            </w:r>
          </w:p>
        </w:tc>
        <w:tc>
          <w:tcPr>
            <w:tcW w:w="1069" w:type="dxa"/>
            <w:shd w:val="clear" w:color="000000" w:fill="FFFFFF"/>
            <w:vAlign w:val="center"/>
          </w:tcPr>
          <w:p w14:paraId="57F367DA">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90%</w:t>
            </w:r>
          </w:p>
        </w:tc>
        <w:tc>
          <w:tcPr>
            <w:tcW w:w="1215" w:type="dxa"/>
            <w:shd w:val="clear" w:color="000000" w:fill="FFFFFF"/>
            <w:vAlign w:val="center"/>
          </w:tcPr>
          <w:p w14:paraId="49939D6E">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960" w:type="dxa"/>
            <w:shd w:val="clear" w:color="000000" w:fill="FFFFFF"/>
            <w:vAlign w:val="center"/>
          </w:tcPr>
          <w:p w14:paraId="2191418D">
            <w:pPr>
              <w:widowControl/>
              <w:spacing w:line="0" w:lineRule="atLeas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r>
    </w:tbl>
    <w:p w14:paraId="6B206531">
      <w:pPr>
        <w:keepNext w:val="0"/>
        <w:keepLines w:val="0"/>
        <w:pageBreakBefore w:val="0"/>
        <w:kinsoku/>
        <w:wordWrap/>
        <w:overflowPunct/>
        <w:topLinePunct w:val="0"/>
        <w:autoSpaceDE/>
        <w:autoSpaceDN/>
        <w:bidi w:val="0"/>
        <w:adjustRightInd/>
        <w:snapToGrid/>
        <w:spacing w:line="540" w:lineRule="exact"/>
        <w:ind w:firstLine="320" w:firstLineChars="100"/>
        <w:textAlignment w:val="auto"/>
        <w:rPr>
          <w:rFonts w:eastAsia="黑体"/>
          <w:sz w:val="32"/>
          <w:szCs w:val="32"/>
        </w:rPr>
      </w:pPr>
      <w:r>
        <w:rPr>
          <w:rFonts w:eastAsia="黑体"/>
          <w:sz w:val="32"/>
          <w:szCs w:val="32"/>
        </w:rPr>
        <w:t>四、绩效评价指标分析</w:t>
      </w:r>
    </w:p>
    <w:p w14:paraId="7E18BEAD">
      <w:pPr>
        <w:pStyle w:val="2"/>
        <w:keepNext w:val="0"/>
        <w:keepLines w:val="0"/>
        <w:pageBreakBefore w:val="0"/>
        <w:kinsoku/>
        <w:wordWrap/>
        <w:overflowPunct/>
        <w:topLinePunct w:val="0"/>
        <w:autoSpaceDE/>
        <w:autoSpaceDN/>
        <w:bidi w:val="0"/>
        <w:adjustRightInd/>
        <w:snapToGrid/>
        <w:spacing w:before="0" w:after="0" w:line="540" w:lineRule="exact"/>
        <w:ind w:firstLine="321" w:firstLineChars="100"/>
        <w:jc w:val="both"/>
        <w:textAlignment w:val="auto"/>
        <w:rPr>
          <w:rFonts w:ascii="Times New Roman" w:hAnsi="Times New Roman" w:eastAsia="楷体_GB2312"/>
        </w:rPr>
      </w:pPr>
      <w:r>
        <w:rPr>
          <w:rFonts w:ascii="Times New Roman" w:hAnsi="Times New Roman" w:eastAsia="楷体_GB2312"/>
        </w:rPr>
        <w:t>（一）项目决策情况</w:t>
      </w:r>
    </w:p>
    <w:p w14:paraId="7F570C30">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项目决策类指标包括项目立项、绩效目标和资金投入三方面的内容，由6个三级指标构成，权重分值为20分，实际得分20分，得分率为100%。</w:t>
      </w:r>
    </w:p>
    <w:p w14:paraId="29006BD2">
      <w:pPr>
        <w:pStyle w:val="53"/>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1.项目立项</w:t>
      </w:r>
    </w:p>
    <w:p w14:paraId="026302CE">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（1）立项依据充分性</w:t>
      </w:r>
    </w:p>
    <w:p w14:paraId="63FC03DE">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19BFD69">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（2）立项程序规范性</w:t>
      </w:r>
    </w:p>
    <w:p w14:paraId="79BE50F7">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0"/>
        <w:rPr>
          <w:rFonts w:hint="eastAsia" w:ascii="Times New Roman" w:hAnsi="Times New Roman" w:eastAsia="楷体_GB2312"/>
        </w:rPr>
      </w:pPr>
      <w:r>
        <w:rPr>
          <w:rFonts w:hint="eastAsia" w:ascii="仿宋_GB2312" w:hAnsi="仿宋_GB2312" w:eastAsia="仿宋_GB2312" w:cs="仿宋_GB2312"/>
          <w:sz w:val="32"/>
          <w:szCs w:val="32"/>
        </w:rPr>
        <w:t>项目申请、设立过程符合相关要求，</w:t>
      </w:r>
      <w:r>
        <w:rPr>
          <w:rFonts w:hint="eastAsia" w:ascii="仿宋_GB2312" w:hAnsi="仿宋_GB2312" w:eastAsia="仿宋_GB2312" w:cs="仿宋_GB2312"/>
          <w:sz w:val="32"/>
          <w:szCs w:val="32"/>
          <w:lang w:eastAsia="zh-Hans"/>
        </w:rPr>
        <w:t>严格按照审批流程准备符合要求的文件、材料；</w:t>
      </w:r>
      <w:r>
        <w:rPr>
          <w:rFonts w:hint="eastAsia" w:ascii="仿宋_GB2312" w:hAnsi="仿宋_GB2312" w:eastAsia="仿宋_GB2312" w:cs="仿宋_GB2312"/>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r>
        <w:rPr>
          <w:rFonts w:hint="eastAsia" w:ascii="仿宋_GB2312" w:hAnsi="仿宋_GB2312" w:eastAsia="仿宋_GB2312" w:cs="仿宋_GB2312"/>
          <w:sz w:val="32"/>
          <w:szCs w:val="32"/>
        </w:rPr>
        <w:t>。</w:t>
      </w:r>
    </w:p>
    <w:p w14:paraId="4C71211F">
      <w:pPr>
        <w:pStyle w:val="2"/>
        <w:keepNext w:val="0"/>
        <w:keepLines w:val="0"/>
        <w:pageBreakBefore w:val="0"/>
        <w:kinsoku/>
        <w:wordWrap/>
        <w:overflowPunct/>
        <w:topLinePunct w:val="0"/>
        <w:autoSpaceDE/>
        <w:autoSpaceDN/>
        <w:bidi w:val="0"/>
        <w:adjustRightInd/>
        <w:snapToGrid/>
        <w:spacing w:before="0" w:after="0" w:line="540" w:lineRule="exact"/>
        <w:ind w:firstLine="643" w:firstLineChars="200"/>
        <w:jc w:val="both"/>
        <w:textAlignment w:val="auto"/>
        <w:rPr>
          <w:rFonts w:ascii="Times New Roman" w:hAnsi="Times New Roman" w:eastAsia="楷体_GB2312"/>
        </w:rPr>
      </w:pPr>
      <w:r>
        <w:rPr>
          <w:rFonts w:hint="eastAsia" w:ascii="Times New Roman" w:hAnsi="Times New Roman" w:eastAsia="楷体_GB2312"/>
        </w:rPr>
        <w:t>（二）</w:t>
      </w:r>
      <w:r>
        <w:rPr>
          <w:rFonts w:ascii="Times New Roman" w:hAnsi="Times New Roman" w:eastAsia="楷体_GB2312"/>
        </w:rPr>
        <w:t>项目过程情况</w:t>
      </w:r>
    </w:p>
    <w:p w14:paraId="23844914">
      <w:pPr>
        <w:pStyle w:val="53"/>
        <w:keepNext w:val="0"/>
        <w:keepLines w:val="0"/>
        <w:pageBreakBefore w:val="0"/>
        <w:widowControl w:val="0"/>
        <w:shd w:val="clear"/>
        <w:kinsoku/>
        <w:wordWrap/>
        <w:overflowPunct/>
        <w:topLinePunct w:val="0"/>
        <w:autoSpaceDE/>
        <w:autoSpaceDN/>
        <w:bidi w:val="0"/>
        <w:adjustRightInd/>
        <w:snapToGrid/>
        <w:spacing w:line="540" w:lineRule="exact"/>
        <w:ind w:firstLine="948" w:firstLineChars="295"/>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2.绩效目标</w:t>
      </w:r>
    </w:p>
    <w:p w14:paraId="71A6C326">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（1）绩效目标合理性</w:t>
      </w:r>
    </w:p>
    <w:p w14:paraId="0C75549F">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年初结合实际工作内容</w:t>
      </w:r>
      <w:r>
        <w:rPr>
          <w:rFonts w:hint="eastAsia" w:ascii="仿宋_GB2312" w:hAnsi="仿宋_GB2312" w:eastAsia="仿宋_GB2312" w:cs="仿宋_GB2312"/>
          <w:sz w:val="32"/>
          <w:szCs w:val="32"/>
          <w:lang w:val="en-US" w:eastAsia="zh-CN"/>
        </w:rPr>
        <w:t>设定绩效目标</w:t>
      </w:r>
      <w:r>
        <w:rPr>
          <w:rFonts w:hint="eastAsia" w:ascii="仿宋_GB2312" w:hAnsi="仿宋_GB2312" w:eastAsia="仿宋_GB2312" w:cs="仿宋_GB2312"/>
          <w:sz w:val="32"/>
          <w:szCs w:val="32"/>
          <w:lang w:val="en-US" w:eastAsia="zh-Hans"/>
        </w:rPr>
        <w:t>，绩效目标</w:t>
      </w:r>
      <w:r>
        <w:rPr>
          <w:rFonts w:hint="eastAsia" w:ascii="仿宋_GB2312" w:hAnsi="仿宋_GB2312" w:eastAsia="仿宋_GB2312" w:cs="仿宋_GB2312"/>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47B8D325">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（2）绩效指标明确性</w:t>
      </w:r>
    </w:p>
    <w:p w14:paraId="04371F78">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项目设置了明确的预期产出效益和效果，将绩效目标细化分解为具体的绩效指标，绩效目标与项目目标任务数相对应，绩效目标设定的绩效指标清晰、细化、可衡量。</w:t>
      </w:r>
    </w:p>
    <w:p w14:paraId="268EAD01">
      <w:pPr>
        <w:pStyle w:val="53"/>
        <w:keepNext w:val="0"/>
        <w:keepLines w:val="0"/>
        <w:pageBreakBefore w:val="0"/>
        <w:widowControl w:val="0"/>
        <w:shd w:val="clear"/>
        <w:kinsoku/>
        <w:wordWrap/>
        <w:overflowPunct/>
        <w:topLinePunct w:val="0"/>
        <w:autoSpaceDE/>
        <w:autoSpaceDN/>
        <w:bidi w:val="0"/>
        <w:adjustRightInd/>
        <w:snapToGrid/>
        <w:spacing w:line="540" w:lineRule="exact"/>
        <w:ind w:firstLine="948" w:firstLineChars="295"/>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3.资金投入</w:t>
      </w:r>
    </w:p>
    <w:p w14:paraId="46C70FD0">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（1）预算编制科学性</w:t>
      </w:r>
    </w:p>
    <w:p w14:paraId="2F2B439E">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预算编制经过科学论证，提供充分的测算依据佐证资料，预算内容与项目内容相匹配。项目投资额与工作任务相匹配。</w:t>
      </w:r>
    </w:p>
    <w:p w14:paraId="12612951">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（2）资金分配合理性</w:t>
      </w:r>
    </w:p>
    <w:p w14:paraId="05593DAC">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资金分配额度与项目单位实际工作内容相适应，资金分配额度合理，资金分配依据充分。</w:t>
      </w:r>
    </w:p>
    <w:p w14:paraId="793B0C23">
      <w:pPr>
        <w:pStyle w:val="2"/>
        <w:keepNext w:val="0"/>
        <w:keepLines w:val="0"/>
        <w:pageBreakBefore w:val="0"/>
        <w:numPr>
          <w:ilvl w:val="0"/>
          <w:numId w:val="0"/>
        </w:numPr>
        <w:kinsoku/>
        <w:wordWrap/>
        <w:overflowPunct/>
        <w:topLinePunct w:val="0"/>
        <w:autoSpaceDE/>
        <w:autoSpaceDN/>
        <w:bidi w:val="0"/>
        <w:adjustRightInd/>
        <w:snapToGrid/>
        <w:spacing w:before="0" w:after="0" w:line="540" w:lineRule="exact"/>
        <w:ind w:firstLine="643" w:firstLineChars="200"/>
        <w:jc w:val="both"/>
        <w:textAlignment w:val="auto"/>
        <w:rPr>
          <w:rFonts w:ascii="楷体" w:hAnsi="楷体" w:eastAsia="楷体" w:cs="楷体"/>
        </w:rPr>
      </w:pPr>
      <w:r>
        <w:rPr>
          <w:rFonts w:hint="eastAsia" w:ascii="楷体" w:hAnsi="楷体" w:eastAsia="楷体" w:cs="楷体"/>
          <w:lang w:eastAsia="zh-CN"/>
        </w:rPr>
        <w:t>（</w:t>
      </w:r>
      <w:r>
        <w:rPr>
          <w:rFonts w:hint="eastAsia" w:ascii="楷体" w:hAnsi="楷体" w:eastAsia="楷体" w:cs="楷体"/>
          <w:lang w:val="en-US" w:eastAsia="zh-CN"/>
        </w:rPr>
        <w:t>二</w:t>
      </w:r>
      <w:r>
        <w:rPr>
          <w:rFonts w:hint="eastAsia" w:ascii="楷体" w:hAnsi="楷体" w:eastAsia="楷体" w:cs="楷体"/>
          <w:lang w:eastAsia="zh-CN"/>
        </w:rPr>
        <w:t>）</w:t>
      </w:r>
      <w:r>
        <w:rPr>
          <w:rFonts w:hint="eastAsia" w:ascii="楷体" w:hAnsi="楷体" w:eastAsia="楷体" w:cs="楷体"/>
        </w:rPr>
        <w:t>项目过程情况</w:t>
      </w:r>
    </w:p>
    <w:p w14:paraId="32C1A563">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项目过程类指标包括资金管理和组织实施两方面的内容，由</w:t>
      </w:r>
      <w:r>
        <w:rPr>
          <w:rFonts w:hint="eastAsia" w:ascii="仿宋_GB2312" w:hAnsi="仿宋_GB2312" w:eastAsia="仿宋_GB2312" w:cs="仿宋_GB2312"/>
          <w:sz w:val="32"/>
          <w:szCs w:val="32"/>
          <w:highlight w:val="none"/>
          <w:lang w:val="en-US" w:eastAsia="zh-CN"/>
        </w:rPr>
        <w:t>5个</w:t>
      </w:r>
      <w:r>
        <w:rPr>
          <w:rFonts w:hint="eastAsia" w:ascii="仿宋_GB2312" w:hAnsi="仿宋_GB2312" w:eastAsia="仿宋_GB2312" w:cs="仿宋_GB2312"/>
          <w:sz w:val="32"/>
          <w:szCs w:val="32"/>
          <w:lang w:val="en-US" w:eastAsia="zh-CN"/>
        </w:rPr>
        <w:t>三级指标构成，权重分值</w:t>
      </w:r>
      <w:r>
        <w:rPr>
          <w:rFonts w:hint="eastAsia" w:ascii="仿宋_GB2312" w:hAnsi="仿宋_GB2312" w:eastAsia="仿宋_GB2312" w:cs="仿宋_GB2312"/>
          <w:sz w:val="32"/>
          <w:szCs w:val="32"/>
          <w:highlight w:val="none"/>
          <w:lang w:val="en-US" w:eastAsia="zh-CN"/>
        </w:rPr>
        <w:t>为20分，实际得分19.12分，得分率为95.6%。</w:t>
      </w:r>
    </w:p>
    <w:p w14:paraId="1434E04A">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14:paraId="06E9FA26">
      <w:pPr>
        <w:pStyle w:val="53"/>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1.资金管理</w:t>
      </w:r>
    </w:p>
    <w:p w14:paraId="3D629741">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14:paraId="36E6D36B">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本项目总投资1497万元，财政资金及时足额到位，到位率100%，预算资金按计划进度执行。</w:t>
      </w:r>
    </w:p>
    <w:p w14:paraId="3C09A125">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14:paraId="0062AAAE">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w:t>
      </w:r>
      <w:r>
        <w:rPr>
          <w:rFonts w:hint="eastAsia" w:ascii="仿宋_GB2312" w:hAnsi="仿宋_GB2312" w:eastAsia="仿宋_GB2312" w:cs="仿宋_GB2312"/>
          <w:sz w:val="32"/>
          <w:szCs w:val="32"/>
          <w:highlight w:val="none"/>
        </w:rPr>
        <w:t>1364.81万元，预算执行率为</w:t>
      </w:r>
      <w:r>
        <w:rPr>
          <w:rFonts w:hint="eastAsia" w:ascii="仿宋_GB2312" w:hAnsi="仿宋_GB2312" w:eastAsia="仿宋_GB2312" w:cs="仿宋_GB2312"/>
          <w:sz w:val="32"/>
          <w:szCs w:val="32"/>
          <w:highlight w:val="none"/>
          <w:lang w:val="en-US" w:eastAsia="zh-CN"/>
        </w:rPr>
        <w:t>78.03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p>
    <w:p w14:paraId="5953CB50">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14:paraId="20B95C7D">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项目严格按照预</w:t>
      </w:r>
      <w:r>
        <w:rPr>
          <w:rFonts w:hint="eastAsia" w:ascii="仿宋_GB2312" w:hAnsi="仿宋_GB2312" w:eastAsia="仿宋_GB2312" w:cs="仿宋_GB2312"/>
          <w:sz w:val="32"/>
          <w:szCs w:val="32"/>
          <w:lang w:val="en-US" w:eastAsia="zh-CN"/>
        </w:rPr>
        <w:t>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14:paraId="47AB30F6">
      <w:pPr>
        <w:pStyle w:val="53"/>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2.组织实施</w:t>
      </w:r>
    </w:p>
    <w:p w14:paraId="688AD3EA">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（1）管理制度健全性</w:t>
      </w:r>
    </w:p>
    <w:p w14:paraId="22BF2F24">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14:paraId="338AE06B">
      <w:pPr>
        <w:keepNext w:val="0"/>
        <w:keepLines w:val="0"/>
        <w:pageBreakBefore w:val="0"/>
        <w:shd w:val="clear"/>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14:paraId="177759BF">
      <w:pPr>
        <w:pStyle w:val="2"/>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对资金使用的合法合规性进行监督，年末对资金使用效果进行评价。项目管理、实施人员落实到位，有效按照计划执行。项目执行情况等资料齐全，项目相关手续完备，及时进行归档。</w:t>
      </w:r>
    </w:p>
    <w:p w14:paraId="3E9CEA52">
      <w:pPr>
        <w:pStyle w:val="2"/>
        <w:keepNext w:val="0"/>
        <w:keepLines w:val="0"/>
        <w:pageBreakBefore w:val="0"/>
        <w:kinsoku/>
        <w:wordWrap/>
        <w:overflowPunct/>
        <w:topLinePunct w:val="0"/>
        <w:autoSpaceDE/>
        <w:autoSpaceDN/>
        <w:bidi w:val="0"/>
        <w:adjustRightInd/>
        <w:snapToGrid/>
        <w:spacing w:before="0" w:after="0" w:line="540" w:lineRule="exact"/>
        <w:ind w:firstLine="643" w:firstLineChars="200"/>
        <w:jc w:val="both"/>
        <w:textAlignment w:val="auto"/>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（三）项目产出</w:t>
      </w:r>
    </w:p>
    <w:p w14:paraId="76C755E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宋体" w:eastAsia="仿宋_GB2312"/>
          <w:b/>
          <w:bCs/>
          <w:sz w:val="32"/>
          <w:szCs w:val="32"/>
        </w:rPr>
      </w:pPr>
      <w:r>
        <w:rPr>
          <w:rFonts w:ascii="仿宋_GB2312" w:hAnsi="宋体" w:eastAsia="仿宋_GB2312"/>
          <w:b/>
          <w:bCs/>
          <w:sz w:val="32"/>
          <w:szCs w:val="32"/>
        </w:rPr>
        <w:t>数量指标方面：</w:t>
      </w:r>
    </w:p>
    <w:p w14:paraId="1123250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a.免费开放公共图书馆指标，指标值为105个，实际完成106个，完成率100.95%，偏差率-0.95%。</w:t>
      </w:r>
    </w:p>
    <w:p w14:paraId="68088DC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b.免费开放文化馆指标，指标值为115个，实际完成115个，完成率100%，偏差率0%。</w:t>
      </w:r>
    </w:p>
    <w:p w14:paraId="697A339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c.免费开放美术馆指标，指标值为56个，实际完成56个，完成率100%，偏差率0%。</w:t>
      </w:r>
    </w:p>
    <w:p w14:paraId="7CEFB6D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d.免费开放乡镇文化站指标，指标值为</w:t>
      </w:r>
      <w:r>
        <w:rPr>
          <w:rFonts w:hint="eastAsia" w:ascii="仿宋_GB2312" w:hAnsi="宋体"/>
          <w:sz w:val="32"/>
          <w:szCs w:val="32"/>
        </w:rPr>
        <w:t>943个</w:t>
      </w:r>
      <w:r>
        <w:rPr>
          <w:rFonts w:hint="eastAsia" w:ascii="仿宋_GB2312" w:hAnsi="宋体" w:eastAsia="仿宋_GB2312"/>
          <w:sz w:val="32"/>
          <w:szCs w:val="32"/>
        </w:rPr>
        <w:t>，实际完成944个，完成率100.11%，偏差率-0.11%。</w:t>
      </w:r>
    </w:p>
    <w:p w14:paraId="1CB2214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e.免费开放城市社区（街道）文化中心指标，指标值为</w:t>
      </w:r>
      <w:r>
        <w:rPr>
          <w:rFonts w:hint="eastAsia" w:ascii="仿宋_GB2312" w:hAnsi="宋体"/>
          <w:sz w:val="32"/>
          <w:szCs w:val="32"/>
        </w:rPr>
        <w:t>178个</w:t>
      </w:r>
      <w:r>
        <w:rPr>
          <w:rFonts w:hint="eastAsia" w:ascii="仿宋_GB2312" w:hAnsi="宋体" w:eastAsia="仿宋_GB2312"/>
          <w:sz w:val="32"/>
          <w:szCs w:val="32"/>
        </w:rPr>
        <w:t>，实际完成177个，完成率99.44%，偏差率0.56%，偏差原因为：免费开放乡镇文化站个数与免费开放城市社区（街道）文化中心个数合计为1121个。</w:t>
      </w:r>
    </w:p>
    <w:p w14:paraId="37A18E2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Style w:val="52"/>
          <w:rFonts w:ascii="Times New Roman" w:hAnsi="Times New Roman" w:cs="Times New Roman"/>
          <w:b/>
          <w:color w:val="auto"/>
        </w:rPr>
      </w:pPr>
      <w:r>
        <w:rPr>
          <w:rStyle w:val="52"/>
          <w:rFonts w:ascii="Times New Roman" w:hAnsi="Times New Roman" w:cs="Times New Roman"/>
          <w:b/>
          <w:color w:val="auto"/>
        </w:rPr>
        <w:t xml:space="preserve">质量指标方面： </w:t>
      </w:r>
    </w:p>
    <w:p w14:paraId="19041724">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a.“三馆一站”免费开放覆盖率指标，指标值为100%，实际完成100%，完成率100%，偏差率0%。</w:t>
      </w:r>
    </w:p>
    <w:p w14:paraId="3004BCE2">
      <w:pPr>
        <w:pStyle w:val="2"/>
        <w:keepNext w:val="0"/>
        <w:keepLines w:val="0"/>
        <w:pageBreakBefore w:val="0"/>
        <w:kinsoku/>
        <w:wordWrap/>
        <w:overflowPunct/>
        <w:topLinePunct w:val="0"/>
        <w:autoSpaceDE/>
        <w:autoSpaceDN/>
        <w:bidi w:val="0"/>
        <w:adjustRightInd/>
        <w:snapToGrid/>
        <w:spacing w:before="0" w:after="0" w:line="540" w:lineRule="exact"/>
        <w:ind w:firstLine="643" w:firstLineChars="200"/>
        <w:jc w:val="both"/>
        <w:textAlignment w:val="auto"/>
        <w:rPr>
          <w:rStyle w:val="52"/>
          <w:rFonts w:ascii="Times New Roman" w:hAnsi="Times New Roman" w:cs="Times New Roman"/>
          <w:bCs w:val="0"/>
          <w:color w:val="auto"/>
        </w:rPr>
      </w:pPr>
      <w:r>
        <w:rPr>
          <w:rStyle w:val="52"/>
          <w:rFonts w:ascii="Times New Roman" w:hAnsi="Times New Roman" w:cs="Times New Roman"/>
          <w:bCs w:val="0"/>
          <w:color w:val="auto"/>
        </w:rPr>
        <w:t>成本指标方面：</w:t>
      </w:r>
    </w:p>
    <w:p w14:paraId="421FB3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a.</w:t>
      </w:r>
      <w:r>
        <w:rPr>
          <w:rFonts w:hint="eastAsia" w:ascii="仿宋_GB2312" w:hAnsi="宋体" w:eastAsia="仿宋_GB2312"/>
          <w:sz w:val="32"/>
          <w:szCs w:val="32"/>
        </w:rPr>
        <w:t>地市级公共图书馆、美术馆、文化馆每馆每年补助标准</w:t>
      </w:r>
      <w:r>
        <w:rPr>
          <w:rFonts w:ascii="仿宋_GB2312" w:hAnsi="宋体" w:eastAsia="仿宋_GB2312"/>
          <w:sz w:val="32"/>
          <w:szCs w:val="32"/>
        </w:rPr>
        <w:t>(50万*0.</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指标，指标值为</w:t>
      </w:r>
      <w:r>
        <w:rPr>
          <w:rFonts w:hint="eastAsia" w:ascii="仿宋_GB2312" w:hAnsi="宋体" w:eastAsia="仿宋_GB2312"/>
          <w:bCs/>
          <w:sz w:val="32"/>
          <w:szCs w:val="32"/>
        </w:rPr>
        <w:t>10万元</w:t>
      </w:r>
      <w:r>
        <w:rPr>
          <w:rFonts w:hint="eastAsia" w:ascii="仿宋_GB2312" w:hAnsi="宋体" w:eastAsia="仿宋_GB2312"/>
          <w:sz w:val="32"/>
          <w:szCs w:val="32"/>
        </w:rPr>
        <w:t>，实际完成100%，完成率100%、偏差率0%</w:t>
      </w:r>
      <w:r>
        <w:rPr>
          <w:rFonts w:hint="eastAsia" w:ascii="仿宋_GB2312" w:hAnsi="宋体" w:eastAsia="仿宋_GB2312"/>
          <w:bCs/>
          <w:sz w:val="32"/>
          <w:szCs w:val="32"/>
        </w:rPr>
        <w:t>。</w:t>
      </w:r>
    </w:p>
    <w:p w14:paraId="590D5B1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b.</w:t>
      </w:r>
      <w:r>
        <w:rPr>
          <w:rFonts w:hint="eastAsia" w:ascii="仿宋_GB2312" w:hAnsi="宋体" w:eastAsia="仿宋_GB2312"/>
          <w:sz w:val="32"/>
          <w:szCs w:val="32"/>
        </w:rPr>
        <w:t>县市级公共图书馆、美术馆、文化馆每馆每年补助标准</w:t>
      </w:r>
      <w:r>
        <w:rPr>
          <w:rFonts w:ascii="仿宋_GB2312" w:hAnsi="宋体" w:eastAsia="仿宋_GB2312"/>
          <w:sz w:val="32"/>
          <w:szCs w:val="32"/>
        </w:rPr>
        <w:t>(20万*0.</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指标，指标值为</w:t>
      </w:r>
      <w:r>
        <w:rPr>
          <w:rFonts w:hint="eastAsia" w:ascii="仿宋_GB2312" w:hAnsi="宋体" w:eastAsia="仿宋_GB2312"/>
          <w:bCs/>
          <w:sz w:val="32"/>
          <w:szCs w:val="32"/>
        </w:rPr>
        <w:t>4万元</w:t>
      </w:r>
      <w:r>
        <w:rPr>
          <w:rFonts w:hint="eastAsia" w:ascii="仿宋_GB2312" w:hAnsi="宋体" w:eastAsia="仿宋_GB2312"/>
          <w:sz w:val="32"/>
          <w:szCs w:val="32"/>
        </w:rPr>
        <w:t>，实际完成100%，完成率100%、偏差率0%</w:t>
      </w:r>
      <w:r>
        <w:rPr>
          <w:rFonts w:hint="eastAsia" w:ascii="仿宋_GB2312" w:hAnsi="宋体" w:eastAsia="仿宋_GB2312"/>
          <w:bCs/>
          <w:sz w:val="32"/>
          <w:szCs w:val="32"/>
        </w:rPr>
        <w:t>。</w:t>
      </w:r>
    </w:p>
    <w:p w14:paraId="01FC0AD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c.</w:t>
      </w:r>
      <w:r>
        <w:rPr>
          <w:rFonts w:hint="eastAsia" w:ascii="仿宋_GB2312" w:hAnsi="宋体" w:eastAsia="仿宋_GB2312"/>
          <w:sz w:val="32"/>
          <w:szCs w:val="32"/>
        </w:rPr>
        <w:t>乡镇（街道）综合文化站（中心）每站每年补助标准</w:t>
      </w:r>
      <w:r>
        <w:rPr>
          <w:rFonts w:ascii="仿宋_GB2312" w:hAnsi="宋体" w:eastAsia="仿宋_GB2312"/>
          <w:sz w:val="32"/>
          <w:szCs w:val="32"/>
        </w:rPr>
        <w:t>(5万*0.</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指标，指标值为</w:t>
      </w:r>
      <w:r>
        <w:rPr>
          <w:rFonts w:hint="eastAsia" w:ascii="仿宋_GB2312" w:hAnsi="宋体" w:eastAsia="仿宋_GB2312"/>
          <w:bCs/>
          <w:sz w:val="32"/>
          <w:szCs w:val="32"/>
        </w:rPr>
        <w:t>1万元</w:t>
      </w:r>
      <w:r>
        <w:rPr>
          <w:rFonts w:hint="eastAsia" w:ascii="仿宋_GB2312" w:hAnsi="宋体" w:eastAsia="仿宋_GB2312"/>
          <w:sz w:val="32"/>
          <w:szCs w:val="32"/>
        </w:rPr>
        <w:t>，实际完成100%，完成率100%、偏差率0%</w:t>
      </w:r>
      <w:r>
        <w:rPr>
          <w:rFonts w:hint="eastAsia" w:ascii="仿宋_GB2312" w:hAnsi="宋体" w:eastAsia="仿宋_GB2312"/>
          <w:bCs/>
          <w:sz w:val="32"/>
          <w:szCs w:val="32"/>
        </w:rPr>
        <w:t>。</w:t>
      </w:r>
    </w:p>
    <w:p w14:paraId="7C7A34A3">
      <w:pPr>
        <w:pStyle w:val="2"/>
        <w:keepNext w:val="0"/>
        <w:keepLines w:val="0"/>
        <w:pageBreakBefore w:val="0"/>
        <w:kinsoku/>
        <w:wordWrap/>
        <w:overflowPunct/>
        <w:topLinePunct w:val="0"/>
        <w:autoSpaceDE/>
        <w:autoSpaceDN/>
        <w:bidi w:val="0"/>
        <w:adjustRightInd/>
        <w:snapToGrid/>
        <w:spacing w:before="0" w:after="0" w:line="540" w:lineRule="exact"/>
        <w:ind w:firstLine="321" w:firstLineChars="100"/>
        <w:jc w:val="both"/>
        <w:textAlignment w:val="auto"/>
        <w:rPr>
          <w:rFonts w:ascii="Times New Roman" w:hAnsi="Times New Roman" w:eastAsia="楷体_GB2312"/>
        </w:rPr>
      </w:pPr>
      <w:r>
        <w:rPr>
          <w:rFonts w:hint="eastAsia" w:ascii="Times New Roman" w:hAnsi="Times New Roman" w:eastAsia="楷体_GB2312"/>
        </w:rPr>
        <w:t>（四）</w:t>
      </w:r>
      <w:r>
        <w:rPr>
          <w:rFonts w:ascii="Times New Roman" w:hAnsi="Times New Roman" w:eastAsia="楷体_GB2312"/>
        </w:rPr>
        <w:t>效益情况</w:t>
      </w:r>
    </w:p>
    <w:p w14:paraId="4C0C0BB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Style w:val="52"/>
          <w:rFonts w:hint="eastAsia" w:hAnsi="Times New Roman" w:cs="Times New Roman"/>
          <w:color w:val="auto"/>
        </w:rPr>
        <w:t>a.社会效益指标方面：</w:t>
      </w:r>
      <w:r>
        <w:rPr>
          <w:rFonts w:hint="eastAsia" w:ascii="仿宋_GB2312" w:eastAsia="仿宋_GB2312"/>
          <w:sz w:val="32"/>
          <w:szCs w:val="32"/>
        </w:rPr>
        <w:t>保障群众精神文化需求</w:t>
      </w:r>
      <w:r>
        <w:rPr>
          <w:rFonts w:hint="eastAsia" w:ascii="仿宋_GB2312" w:hAnsi="仿宋_GB2312" w:eastAsia="仿宋_GB2312" w:cs="仿宋_GB2312"/>
          <w:sz w:val="32"/>
          <w:szCs w:val="32"/>
        </w:rPr>
        <w:t>指标，指标有效保障，实际达成目标，完成率100%，偏差率0%，</w:t>
      </w:r>
    </w:p>
    <w:p w14:paraId="1037F8A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Style w:val="52"/>
          <w:rFonts w:hint="eastAsia" w:hAnsi="Times New Roman" w:cs="Times New Roman"/>
          <w:color w:val="auto"/>
        </w:rPr>
        <w:t>b.可持续影响指标方面：</w:t>
      </w:r>
      <w:r>
        <w:rPr>
          <w:rFonts w:hint="eastAsia" w:ascii="仿宋_GB2312" w:eastAsia="仿宋_GB2312"/>
          <w:sz w:val="32"/>
          <w:szCs w:val="32"/>
        </w:rPr>
        <w:t>弘扬传承中华优秀传统文化</w:t>
      </w:r>
      <w:r>
        <w:rPr>
          <w:rFonts w:hint="eastAsia" w:ascii="仿宋_GB2312" w:hAnsi="仿宋_GB2312" w:eastAsia="仿宋_GB2312" w:cs="仿宋_GB2312"/>
          <w:sz w:val="32"/>
          <w:szCs w:val="32"/>
        </w:rPr>
        <w:t>指标，指标有效保障，实际达成目标，完成率100%，偏差率0%，</w:t>
      </w:r>
    </w:p>
    <w:p w14:paraId="4A75C5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rPr>
      </w:pPr>
      <w:r>
        <w:rPr>
          <w:rStyle w:val="52"/>
          <w:rFonts w:hint="eastAsia" w:hAnsi="Times New Roman" w:cs="Times New Roman"/>
          <w:color w:val="auto"/>
        </w:rPr>
        <w:t>c.满意度指标方面：</w:t>
      </w:r>
      <w:r>
        <w:rPr>
          <w:rFonts w:hint="eastAsia" w:ascii="仿宋_GB2312" w:eastAsia="仿宋_GB2312"/>
          <w:sz w:val="32"/>
          <w:szCs w:val="32"/>
        </w:rPr>
        <w:t>社会公众对“三馆一站”公共文化服务满意度指标，指标值为≥85%，实际完成90%，完成率105.89%，偏差率-5.89%。</w:t>
      </w:r>
    </w:p>
    <w:p w14:paraId="21BB582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五、预算执行进度与绩效指标总体完成率偏差</w:t>
      </w:r>
    </w:p>
    <w:p w14:paraId="7695C82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三馆一站免费开放资金</w:t>
      </w:r>
      <w:r>
        <w:rPr>
          <w:rFonts w:hint="eastAsia" w:ascii="仿宋_GB2312" w:hAnsi="仿宋_GB2312" w:eastAsia="仿宋_GB2312" w:cs="仿宋_GB2312"/>
          <w:sz w:val="32"/>
          <w:szCs w:val="32"/>
        </w:rPr>
        <w:t>项目年初预算</w:t>
      </w:r>
      <w:r>
        <w:rPr>
          <w:rFonts w:hint="eastAsia" w:ascii="仿宋_GB2312" w:hAnsi="仿宋_GB2312" w:eastAsia="仿宋_GB2312" w:cs="仿宋_GB2312"/>
          <w:sz w:val="32"/>
          <w:szCs w:val="32"/>
          <w:lang w:val="en-US" w:eastAsia="zh-CN"/>
        </w:rPr>
        <w:t>1749</w:t>
      </w:r>
      <w:r>
        <w:rPr>
          <w:rFonts w:hint="eastAsia" w:ascii="仿宋_GB2312" w:hAnsi="仿宋_GB2312" w:eastAsia="仿宋_GB2312" w:cs="仿宋_GB2312"/>
          <w:sz w:val="32"/>
          <w:szCs w:val="32"/>
        </w:rPr>
        <w:t>万元，全年预算</w:t>
      </w:r>
      <w:r>
        <w:rPr>
          <w:rFonts w:hint="eastAsia" w:ascii="仿宋_GB2312" w:hAnsi="仿宋_GB2312" w:eastAsia="仿宋_GB2312" w:cs="仿宋_GB2312"/>
          <w:sz w:val="32"/>
          <w:szCs w:val="32"/>
          <w:lang w:val="en-US" w:eastAsia="zh-CN"/>
        </w:rPr>
        <w:t>1749</w:t>
      </w:r>
      <w:r>
        <w:rPr>
          <w:rFonts w:hint="eastAsia" w:ascii="仿宋_GB2312" w:hAnsi="仿宋_GB2312" w:eastAsia="仿宋_GB2312" w:cs="仿宋_GB2312"/>
          <w:sz w:val="32"/>
          <w:szCs w:val="32"/>
        </w:rPr>
        <w:t>万元，实际支出1364.81万元，预算执行率为</w:t>
      </w:r>
      <w:r>
        <w:rPr>
          <w:rFonts w:hint="eastAsia" w:ascii="仿宋_GB2312" w:hAnsi="仿宋_GB2312" w:eastAsia="仿宋_GB2312" w:cs="仿宋_GB2312"/>
          <w:sz w:val="32"/>
          <w:szCs w:val="32"/>
          <w:lang w:val="en-US" w:eastAsia="zh-CN"/>
        </w:rPr>
        <w:t>78.03</w:t>
      </w:r>
      <w:r>
        <w:rPr>
          <w:rFonts w:hint="eastAsia" w:ascii="仿宋_GB2312" w:hAnsi="仿宋_GB2312" w:eastAsia="仿宋_GB2312" w:cs="仿宋_GB2312"/>
          <w:sz w:val="32"/>
          <w:szCs w:val="32"/>
        </w:rPr>
        <w:t>%，项目绩效指标总体完成率为</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总体</w:t>
      </w:r>
      <w:r>
        <w:rPr>
          <w:rFonts w:hint="eastAsia" w:ascii="仿宋_GB2312" w:hAnsi="仿宋_GB2312" w:eastAsia="仿宋_GB2312" w:cs="仿宋_GB2312"/>
          <w:sz w:val="32"/>
          <w:szCs w:val="32"/>
        </w:rPr>
        <w:t>偏差率为</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偏差</w:t>
      </w:r>
      <w:r>
        <w:rPr>
          <w:rFonts w:hint="eastAsia" w:ascii="仿宋_GB2312" w:hAnsi="仿宋_GB2312" w:eastAsia="仿宋_GB2312" w:cs="仿宋_GB2312"/>
          <w:sz w:val="32"/>
          <w:szCs w:val="32"/>
        </w:rPr>
        <w:t>原因</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改进</w:t>
      </w:r>
      <w:r>
        <w:rPr>
          <w:rFonts w:hint="eastAsia" w:ascii="仿宋_GB2312" w:hAnsi="仿宋_GB2312" w:eastAsia="仿宋_GB2312" w:cs="仿宋_GB2312"/>
          <w:sz w:val="32"/>
          <w:szCs w:val="32"/>
        </w:rPr>
        <w:t>措施</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w:t>
      </w:r>
    </w:p>
    <w:p w14:paraId="57A7F4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Style w:val="52"/>
          <w:rFonts w:ascii="Times New Roman" w:hAnsi="Times New Roman" w:cs="Times New Roman"/>
          <w:color w:val="auto"/>
        </w:rPr>
      </w:pPr>
      <w:r>
        <w:rPr>
          <w:rFonts w:hint="eastAsia" w:eastAsia="黑体"/>
          <w:sz w:val="32"/>
          <w:szCs w:val="32"/>
          <w:lang w:val="en-US" w:eastAsia="zh-CN"/>
        </w:rPr>
        <w:t>六</w:t>
      </w:r>
      <w:r>
        <w:rPr>
          <w:rFonts w:eastAsia="黑体"/>
          <w:sz w:val="32"/>
          <w:szCs w:val="32"/>
        </w:rPr>
        <w:t>、主要经验及做法、存在的问题及原因分析</w:t>
      </w:r>
    </w:p>
    <w:p w14:paraId="0CA0F28A">
      <w:pPr>
        <w:keepNext w:val="0"/>
        <w:keepLines w:val="0"/>
        <w:pageBreakBefore w:val="0"/>
        <w:kinsoku/>
        <w:wordWrap/>
        <w:overflowPunct/>
        <w:topLinePunct w:val="0"/>
        <w:autoSpaceDE/>
        <w:autoSpaceDN/>
        <w:bidi w:val="0"/>
        <w:adjustRightInd/>
        <w:snapToGrid/>
        <w:spacing w:line="540" w:lineRule="exact"/>
        <w:ind w:firstLine="627" w:firstLineChars="200"/>
        <w:textAlignment w:val="auto"/>
        <w:rPr>
          <w:rFonts w:eastAsia="楷体"/>
          <w:b/>
          <w:spacing w:val="-4"/>
          <w:sz w:val="32"/>
          <w:szCs w:val="32"/>
        </w:rPr>
      </w:pPr>
      <w:r>
        <w:rPr>
          <w:rFonts w:eastAsia="楷体"/>
          <w:b/>
          <w:spacing w:val="-4"/>
          <w:sz w:val="32"/>
          <w:szCs w:val="32"/>
        </w:rPr>
        <w:t>（一）主要经验及做法</w:t>
      </w:r>
    </w:p>
    <w:p w14:paraId="05ABC88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eastAsia="仿宋_GB2312"/>
          <w:sz w:val="32"/>
          <w:szCs w:val="32"/>
        </w:rPr>
        <w:t>为确保项目顺利进行，</w:t>
      </w:r>
      <w:r>
        <w:rPr>
          <w:rFonts w:hint="eastAsia" w:eastAsia="仿宋_GB2312"/>
          <w:sz w:val="32"/>
          <w:szCs w:val="32"/>
        </w:rPr>
        <w:t>2021年年底</w:t>
      </w:r>
      <w:r>
        <w:rPr>
          <w:rFonts w:eastAsia="仿宋_GB2312"/>
          <w:sz w:val="32"/>
          <w:szCs w:val="32"/>
        </w:rPr>
        <w:t>制定</w:t>
      </w:r>
      <w:r>
        <w:rPr>
          <w:rFonts w:hint="eastAsia" w:ascii="仿宋_GB2312" w:eastAsia="仿宋_GB2312"/>
          <w:sz w:val="32"/>
          <w:szCs w:val="32"/>
        </w:rPr>
        <w:t>资金分配</w:t>
      </w:r>
      <w:r>
        <w:rPr>
          <w:rFonts w:eastAsia="仿宋_GB2312"/>
          <w:sz w:val="32"/>
          <w:szCs w:val="32"/>
        </w:rPr>
        <w:t>方案，经</w:t>
      </w:r>
      <w:r>
        <w:rPr>
          <w:rFonts w:hint="eastAsia" w:eastAsia="仿宋_GB2312"/>
          <w:sz w:val="32"/>
          <w:szCs w:val="32"/>
        </w:rPr>
        <w:t>自治区文化和旅游厅党组审议</w:t>
      </w:r>
      <w:r>
        <w:rPr>
          <w:rFonts w:eastAsia="仿宋_GB2312"/>
          <w:sz w:val="32"/>
          <w:szCs w:val="32"/>
        </w:rPr>
        <w:t>通过后，有序开展后续工作。资金</w:t>
      </w:r>
      <w:r>
        <w:rPr>
          <w:rFonts w:hint="eastAsia" w:eastAsia="仿宋_GB2312"/>
          <w:sz w:val="32"/>
          <w:szCs w:val="32"/>
        </w:rPr>
        <w:t>拨付至14个地州后，各相关单位</w:t>
      </w:r>
      <w:r>
        <w:rPr>
          <w:rFonts w:eastAsia="仿宋_GB2312"/>
          <w:sz w:val="32"/>
          <w:szCs w:val="32"/>
        </w:rPr>
        <w:t>按照</w:t>
      </w:r>
      <w:r>
        <w:rPr>
          <w:rFonts w:hint="eastAsia" w:eastAsia="仿宋_GB2312"/>
          <w:sz w:val="32"/>
          <w:szCs w:val="32"/>
        </w:rPr>
        <w:t>本地“三馆一站”实际情况逐级</w:t>
      </w:r>
      <w:r>
        <w:rPr>
          <w:rFonts w:eastAsia="仿宋_GB2312"/>
          <w:sz w:val="32"/>
          <w:szCs w:val="32"/>
        </w:rPr>
        <w:t>进行</w:t>
      </w:r>
      <w:r>
        <w:rPr>
          <w:rFonts w:hint="eastAsia" w:eastAsia="仿宋_GB2312"/>
          <w:sz w:val="32"/>
          <w:szCs w:val="32"/>
        </w:rPr>
        <w:t>资金分配</w:t>
      </w:r>
      <w:r>
        <w:rPr>
          <w:rFonts w:eastAsia="仿宋_GB2312"/>
          <w:sz w:val="32"/>
          <w:szCs w:val="32"/>
        </w:rPr>
        <w:t>，</w:t>
      </w:r>
      <w:r>
        <w:rPr>
          <w:rFonts w:hint="eastAsia" w:eastAsia="仿宋_GB2312"/>
          <w:sz w:val="32"/>
          <w:szCs w:val="32"/>
        </w:rPr>
        <w:t>确保</w:t>
      </w:r>
      <w:r>
        <w:rPr>
          <w:rFonts w:eastAsia="仿宋_GB2312"/>
          <w:sz w:val="32"/>
          <w:szCs w:val="32"/>
        </w:rPr>
        <w:t>项目质量及效率性。</w:t>
      </w:r>
      <w:r>
        <w:rPr>
          <w:rFonts w:hint="eastAsia" w:ascii="仿宋_GB2312" w:eastAsia="仿宋_GB2312"/>
          <w:sz w:val="32"/>
          <w:szCs w:val="32"/>
        </w:rPr>
        <w:t>2022年6月，财务处及我处等相关处室（单位）人员对各地（州、市）专项资金使用情况开展督察。2022年7月，我处根据梳理出的资金使用情况，下发《关于对“三馆一站”免费开放资金使用情况进行整改的通知》，要求相关单位进一步加大对免费开放资金的监管力度及活动开展力度，提升资金使用的序时进度，发挥资金使用效能</w:t>
      </w:r>
      <w:r>
        <w:rPr>
          <w:rFonts w:hint="eastAsia" w:ascii="仿宋_GB2312" w:hAnsi="仿宋_GB2312" w:eastAsia="仿宋_GB2312" w:cs="仿宋_GB2312"/>
          <w:sz w:val="32"/>
          <w:szCs w:val="32"/>
        </w:rPr>
        <w:t>。</w:t>
      </w:r>
    </w:p>
    <w:p w14:paraId="57DE5171">
      <w:pPr>
        <w:keepNext w:val="0"/>
        <w:keepLines w:val="0"/>
        <w:pageBreakBefore w:val="0"/>
        <w:kinsoku/>
        <w:wordWrap/>
        <w:overflowPunct/>
        <w:topLinePunct w:val="0"/>
        <w:autoSpaceDE/>
        <w:autoSpaceDN/>
        <w:bidi w:val="0"/>
        <w:adjustRightInd/>
        <w:snapToGrid/>
        <w:spacing w:line="540" w:lineRule="exact"/>
        <w:ind w:firstLine="627" w:firstLineChars="200"/>
        <w:textAlignment w:val="auto"/>
        <w:rPr>
          <w:rFonts w:eastAsia="楷体"/>
          <w:b/>
          <w:spacing w:val="-4"/>
          <w:sz w:val="32"/>
          <w:szCs w:val="32"/>
        </w:rPr>
      </w:pPr>
      <w:r>
        <w:rPr>
          <w:rFonts w:hint="eastAsia" w:eastAsia="楷体"/>
          <w:b/>
          <w:spacing w:val="-4"/>
          <w:sz w:val="32"/>
          <w:szCs w:val="32"/>
        </w:rPr>
        <w:t>（二）</w:t>
      </w:r>
      <w:r>
        <w:rPr>
          <w:rFonts w:eastAsia="楷体"/>
          <w:b/>
          <w:spacing w:val="-4"/>
          <w:sz w:val="32"/>
          <w:szCs w:val="32"/>
        </w:rPr>
        <w:t>存在的问题及原因分析</w:t>
      </w:r>
    </w:p>
    <w:p w14:paraId="012DCEF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szCs w:val="32"/>
        </w:rPr>
      </w:pPr>
      <w:r>
        <w:rPr>
          <w:rFonts w:ascii="仿宋_GB2312" w:hAnsi="仿宋_GB2312" w:eastAsia="仿宋_GB2312" w:cs="仿宋_GB2312"/>
          <w:sz w:val="32"/>
          <w:szCs w:val="32"/>
        </w:rPr>
        <w:t>存在的问题</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原因分析</w:t>
      </w:r>
      <w:r>
        <w:rPr>
          <w:rFonts w:hint="eastAsia" w:ascii="仿宋_GB2312" w:hAnsi="仿宋_GB2312" w:eastAsia="仿宋_GB2312" w:cs="仿宋_GB2312"/>
          <w:sz w:val="32"/>
          <w:szCs w:val="32"/>
        </w:rPr>
        <w:t>：2022年，各类公共文化场馆活动在推进过程中，受疫情防控及政策措施影响，存在覆盖面、参与人群、活动场次等压缩或者计划滞后的情况，</w:t>
      </w:r>
      <w:r>
        <w:rPr>
          <w:rFonts w:hint="eastAsia" w:ascii="仿宋_GB2312" w:eastAsia="仿宋_GB2312"/>
          <w:sz w:val="32"/>
          <w:szCs w:val="32"/>
        </w:rPr>
        <w:t>“三馆一站”免费开放资金使用进度较缓慢。</w:t>
      </w:r>
    </w:p>
    <w:p w14:paraId="5B9DEE04">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hint="eastAsia" w:eastAsia="黑体"/>
          <w:sz w:val="32"/>
          <w:szCs w:val="32"/>
          <w:lang w:val="en-US" w:eastAsia="zh-CN"/>
        </w:rPr>
        <w:t>七、</w:t>
      </w:r>
      <w:r>
        <w:rPr>
          <w:rFonts w:eastAsia="黑体"/>
          <w:sz w:val="32"/>
          <w:szCs w:val="32"/>
        </w:rPr>
        <w:t>有关建议</w:t>
      </w:r>
    </w:p>
    <w:p w14:paraId="20098A1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sz w:val="32"/>
          <w:szCs w:val="28"/>
        </w:rPr>
        <w:t>进一步加强对绩效管理工作的组织领导，提高对预算绩效管理工作重要性的认识，总结经验查找问题，抓紧研究制定更全面更完善的绩效评价管理办法。结合“三馆一站”免费开放</w:t>
      </w:r>
      <w:r>
        <w:rPr>
          <w:rFonts w:hint="eastAsia" w:ascii="仿宋_GB2312" w:hAnsi="宋体" w:eastAsia="仿宋_GB2312"/>
          <w:sz w:val="32"/>
          <w:szCs w:val="32"/>
        </w:rPr>
        <w:t>资金的使用情况、实施情况以及取得的综合绩效，进一步加强和规范项目资金管理，以保证项目资金使用管理的规范性、安全性和有效性。</w:t>
      </w:r>
    </w:p>
    <w:p w14:paraId="3D6D79F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hint="eastAsia" w:eastAsia="黑体"/>
          <w:sz w:val="32"/>
          <w:szCs w:val="32"/>
          <w:lang w:val="en-US" w:eastAsia="zh-CN"/>
        </w:rPr>
        <w:t>八、</w:t>
      </w:r>
      <w:r>
        <w:rPr>
          <w:rFonts w:eastAsia="黑体"/>
          <w:sz w:val="32"/>
          <w:szCs w:val="32"/>
        </w:rPr>
        <w:t>其他需要说</w:t>
      </w:r>
      <w:bookmarkStart w:id="1" w:name="page8"/>
      <w:bookmarkEnd w:id="1"/>
      <w:r>
        <w:rPr>
          <w:rFonts w:eastAsia="黑体"/>
          <w:sz w:val="32"/>
          <w:szCs w:val="32"/>
        </w:rPr>
        <w:t>明的问题</w:t>
      </w:r>
    </w:p>
    <w:p w14:paraId="43C98D7A">
      <w:pPr>
        <w:pStyle w:val="20"/>
        <w:keepNext w:val="0"/>
        <w:keepLines w:val="0"/>
        <w:pageBreakBefore w:val="0"/>
        <w:kinsoku/>
        <w:wordWrap/>
        <w:overflowPunct/>
        <w:topLinePunct w:val="0"/>
        <w:autoSpaceDE/>
        <w:autoSpaceDN/>
        <w:bidi w:val="0"/>
        <w:adjustRightInd/>
        <w:snapToGrid/>
        <w:spacing w:after="0" w:line="540" w:lineRule="exact"/>
        <w:ind w:firstLine="320" w:firstLineChars="100"/>
        <w:rPr>
          <w:rFonts w:ascii="Times New Roman" w:hAnsi="Times New Roman" w:eastAsia="方正小标宋简体"/>
          <w:b/>
          <w:kern w:val="0"/>
          <w:sz w:val="32"/>
          <w:szCs w:val="32"/>
        </w:rPr>
        <w:sectPr>
          <w:headerReference r:id="rId3" w:type="default"/>
          <w:footerReference r:id="rId4" w:type="default"/>
          <w:pgSz w:w="11906" w:h="16838"/>
          <w:pgMar w:top="1440" w:right="1531" w:bottom="1440" w:left="1531"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无。</w:t>
      </w:r>
    </w:p>
    <w:tbl>
      <w:tblPr>
        <w:tblStyle w:val="21"/>
        <w:tblW w:w="10206" w:type="dxa"/>
        <w:jc w:val="center"/>
        <w:tblLayout w:type="fixed"/>
        <w:tblCellMar>
          <w:top w:w="0" w:type="dxa"/>
          <w:left w:w="0" w:type="dxa"/>
          <w:bottom w:w="0" w:type="dxa"/>
          <w:right w:w="0" w:type="dxa"/>
        </w:tblCellMar>
      </w:tblPr>
      <w:tblGrid>
        <w:gridCol w:w="705"/>
        <w:gridCol w:w="555"/>
        <w:gridCol w:w="1097"/>
        <w:gridCol w:w="1350"/>
        <w:gridCol w:w="1523"/>
        <w:gridCol w:w="315"/>
        <w:gridCol w:w="953"/>
        <w:gridCol w:w="1348"/>
        <w:gridCol w:w="2360"/>
      </w:tblGrid>
      <w:tr w14:paraId="77B7B8DE">
        <w:tblPrEx>
          <w:tblCellMar>
            <w:top w:w="0" w:type="dxa"/>
            <w:left w:w="0" w:type="dxa"/>
            <w:bottom w:w="0" w:type="dxa"/>
            <w:right w:w="0" w:type="dxa"/>
          </w:tblCellMar>
        </w:tblPrEx>
        <w:trPr>
          <w:trHeight w:val="420" w:hRule="atLeast"/>
          <w:jc w:val="center"/>
        </w:trPr>
        <w:tc>
          <w:tcPr>
            <w:tcW w:w="10206" w:type="dxa"/>
            <w:gridSpan w:val="9"/>
            <w:tcBorders>
              <w:top w:val="nil"/>
              <w:left w:val="nil"/>
              <w:bottom w:val="single" w:color="auto" w:sz="4" w:space="0"/>
              <w:right w:val="nil"/>
            </w:tcBorders>
            <w:shd w:val="clear" w:color="auto" w:fill="auto"/>
            <w:tcMar>
              <w:top w:w="12" w:type="dxa"/>
              <w:left w:w="12" w:type="dxa"/>
              <w:right w:w="12" w:type="dxa"/>
            </w:tcMar>
            <w:vAlign w:val="center"/>
          </w:tcPr>
          <w:p w14:paraId="5158B09E">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eastAsia="方正小标宋简体"/>
                <w:b/>
                <w:sz w:val="32"/>
                <w:szCs w:val="32"/>
                <w:u w:val="single"/>
              </w:rPr>
            </w:pPr>
            <w:r>
              <w:rPr>
                <w:rFonts w:hint="eastAsia" w:ascii="方正小标宋_GBK" w:hAnsi="方正小标宋_GBK" w:eastAsia="方正小标宋_GBK" w:cs="方正小标宋_GBK"/>
                <w:b w:val="0"/>
                <w:bCs/>
                <w:kern w:val="0"/>
                <w:sz w:val="32"/>
                <w:szCs w:val="32"/>
              </w:rPr>
              <w:t>项目支出绩效自评表</w:t>
            </w:r>
          </w:p>
        </w:tc>
      </w:tr>
      <w:tr w14:paraId="4CBB27D3">
        <w:tblPrEx>
          <w:tblCellMar>
            <w:top w:w="0" w:type="dxa"/>
            <w:left w:w="0" w:type="dxa"/>
            <w:bottom w:w="0" w:type="dxa"/>
            <w:right w:w="0" w:type="dxa"/>
          </w:tblCellMar>
        </w:tblPrEx>
        <w:trPr>
          <w:trHeight w:val="288" w:hRule="atLeast"/>
          <w:jc w:val="center"/>
        </w:trPr>
        <w:tc>
          <w:tcPr>
            <w:tcW w:w="10206"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104317">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（2022年度）</w:t>
            </w:r>
          </w:p>
        </w:tc>
      </w:tr>
      <w:tr w14:paraId="7A9136D4">
        <w:tblPrEx>
          <w:tblCellMar>
            <w:top w:w="0" w:type="dxa"/>
            <w:left w:w="0" w:type="dxa"/>
            <w:bottom w:w="0" w:type="dxa"/>
            <w:right w:w="0" w:type="dxa"/>
          </w:tblCellMar>
        </w:tblPrEx>
        <w:trPr>
          <w:trHeight w:val="276"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C8BBF57">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项目名称</w:t>
            </w:r>
          </w:p>
        </w:tc>
        <w:tc>
          <w:tcPr>
            <w:tcW w:w="784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1E5BAE">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“三馆一站”免费开放资金（自治区配套）</w:t>
            </w:r>
          </w:p>
        </w:tc>
      </w:tr>
      <w:tr w14:paraId="6997DC10">
        <w:tblPrEx>
          <w:tblCellMar>
            <w:top w:w="0" w:type="dxa"/>
            <w:left w:w="0" w:type="dxa"/>
            <w:bottom w:w="0" w:type="dxa"/>
            <w:right w:w="0" w:type="dxa"/>
          </w:tblCellMar>
        </w:tblPrEx>
        <w:trPr>
          <w:trHeight w:val="611"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D0A10C">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主管部门</w:t>
            </w:r>
          </w:p>
        </w:tc>
        <w:tc>
          <w:tcPr>
            <w:tcW w:w="4141"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F49D88">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自治区文化和旅游厅</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AF3400">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实施单位</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9BFFE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14个地、州、市文化和旅游局</w:t>
            </w:r>
          </w:p>
        </w:tc>
      </w:tr>
      <w:tr w14:paraId="6F4C5EBB">
        <w:tblPrEx>
          <w:tblCellMar>
            <w:top w:w="0" w:type="dxa"/>
            <w:left w:w="0" w:type="dxa"/>
            <w:bottom w:w="0" w:type="dxa"/>
            <w:right w:w="0" w:type="dxa"/>
          </w:tblCellMar>
        </w:tblPrEx>
        <w:trPr>
          <w:trHeight w:val="276" w:hRule="atLeast"/>
          <w:jc w:val="center"/>
        </w:trPr>
        <w:tc>
          <w:tcPr>
            <w:tcW w:w="2357"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10EAA8">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项目资金</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FDD2CE4">
            <w:pPr>
              <w:jc w:val="center"/>
              <w:rPr>
                <w:rFonts w:hint="eastAsia" w:asciiTheme="minorEastAsia" w:hAnsiTheme="minorEastAsia" w:eastAsiaTheme="minorEastAsia" w:cstheme="minorEastAsia"/>
                <w:sz w:val="20"/>
                <w:szCs w:val="20"/>
              </w:rPr>
            </w:pPr>
          </w:p>
        </w:tc>
        <w:tc>
          <w:tcPr>
            <w:tcW w:w="152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EEEBD05">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年初预算数</w:t>
            </w:r>
          </w:p>
        </w:tc>
        <w:tc>
          <w:tcPr>
            <w:tcW w:w="126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C385BE">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全年预算数</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09FAC6">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全年执行数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E12DC1">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执行率</w:t>
            </w:r>
          </w:p>
        </w:tc>
      </w:tr>
      <w:tr w14:paraId="2B1101FA">
        <w:tblPrEx>
          <w:tblCellMar>
            <w:top w:w="0" w:type="dxa"/>
            <w:left w:w="0" w:type="dxa"/>
            <w:bottom w:w="0" w:type="dxa"/>
            <w:right w:w="0" w:type="dxa"/>
          </w:tblCellMar>
        </w:tblPrEx>
        <w:trPr>
          <w:trHeight w:val="276" w:hRule="atLeast"/>
          <w:jc w:val="center"/>
        </w:trPr>
        <w:tc>
          <w:tcPr>
            <w:tcW w:w="235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AF1064">
            <w:pPr>
              <w:jc w:val="center"/>
              <w:rPr>
                <w:rFonts w:hint="eastAsia" w:asciiTheme="minorEastAsia" w:hAnsiTheme="minorEastAsia" w:eastAsiaTheme="minorEastAsia" w:cstheme="minorEastAsia"/>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E72C7A">
            <w:pPr>
              <w:widowControl/>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年度资金总额</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05E170">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1749</w:t>
            </w:r>
          </w:p>
        </w:tc>
        <w:tc>
          <w:tcPr>
            <w:tcW w:w="126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E3A0EA">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1749</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393DF4">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1364.81</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DF694D">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78.03</w:t>
            </w:r>
          </w:p>
        </w:tc>
      </w:tr>
      <w:tr w14:paraId="42289A0A">
        <w:tblPrEx>
          <w:tblCellMar>
            <w:top w:w="0" w:type="dxa"/>
            <w:left w:w="0" w:type="dxa"/>
            <w:bottom w:w="0" w:type="dxa"/>
            <w:right w:w="0" w:type="dxa"/>
          </w:tblCellMar>
        </w:tblPrEx>
        <w:trPr>
          <w:trHeight w:val="276" w:hRule="atLeast"/>
          <w:jc w:val="center"/>
        </w:trPr>
        <w:tc>
          <w:tcPr>
            <w:tcW w:w="235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3EC471">
            <w:pPr>
              <w:jc w:val="center"/>
              <w:rPr>
                <w:rFonts w:hint="eastAsia" w:asciiTheme="minorEastAsia" w:hAnsiTheme="minorEastAsia" w:eastAsiaTheme="minorEastAsia" w:cstheme="minorEastAsia"/>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C02BAFB">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其中：当年财政拨款</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D5E073">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1749</w:t>
            </w:r>
          </w:p>
        </w:tc>
        <w:tc>
          <w:tcPr>
            <w:tcW w:w="126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1C70C72">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1749</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D492E2A">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1364.81</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4B263E6">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78.03</w:t>
            </w:r>
          </w:p>
        </w:tc>
      </w:tr>
      <w:tr w14:paraId="0BDFDF11">
        <w:tblPrEx>
          <w:tblCellMar>
            <w:top w:w="0" w:type="dxa"/>
            <w:left w:w="0" w:type="dxa"/>
            <w:bottom w:w="0" w:type="dxa"/>
            <w:right w:w="0" w:type="dxa"/>
          </w:tblCellMar>
        </w:tblPrEx>
        <w:trPr>
          <w:trHeight w:val="276" w:hRule="atLeast"/>
          <w:jc w:val="center"/>
        </w:trPr>
        <w:tc>
          <w:tcPr>
            <w:tcW w:w="235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DD6C07">
            <w:pPr>
              <w:jc w:val="center"/>
              <w:rPr>
                <w:rFonts w:hint="eastAsia" w:asciiTheme="minorEastAsia" w:hAnsiTheme="minorEastAsia" w:eastAsiaTheme="minorEastAsia" w:cstheme="minorEastAsia"/>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807D87">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上年结转资金</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ABD2CC">
            <w:pPr>
              <w:jc w:val="center"/>
              <w:rPr>
                <w:rFonts w:hint="eastAsia" w:asciiTheme="minorEastAsia" w:hAnsiTheme="minorEastAsia" w:eastAsiaTheme="minorEastAsia" w:cstheme="minorEastAsia"/>
                <w:sz w:val="20"/>
                <w:szCs w:val="20"/>
              </w:rPr>
            </w:pPr>
          </w:p>
        </w:tc>
        <w:tc>
          <w:tcPr>
            <w:tcW w:w="126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830B8D">
            <w:pPr>
              <w:jc w:val="center"/>
              <w:rPr>
                <w:rFonts w:hint="eastAsia" w:asciiTheme="minorEastAsia" w:hAnsiTheme="minorEastAsia" w:eastAsiaTheme="minorEastAsia" w:cstheme="minorEastAsia"/>
                <w:sz w:val="20"/>
                <w:szCs w:val="20"/>
              </w:rPr>
            </w:pP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176668">
            <w:pPr>
              <w:jc w:val="center"/>
              <w:rPr>
                <w:rFonts w:hint="eastAsia" w:asciiTheme="minorEastAsia" w:hAnsiTheme="minorEastAsia" w:eastAsiaTheme="minorEastAsia" w:cstheme="minorEastAsia"/>
                <w:sz w:val="20"/>
                <w:szCs w:val="20"/>
              </w:rPr>
            </w:pP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7925E0">
            <w:pPr>
              <w:jc w:val="center"/>
              <w:rPr>
                <w:rFonts w:hint="eastAsia" w:asciiTheme="minorEastAsia" w:hAnsiTheme="minorEastAsia" w:eastAsiaTheme="minorEastAsia" w:cstheme="minorEastAsia"/>
                <w:sz w:val="20"/>
                <w:szCs w:val="20"/>
              </w:rPr>
            </w:pPr>
          </w:p>
        </w:tc>
      </w:tr>
      <w:tr w14:paraId="7111B755">
        <w:tblPrEx>
          <w:tblCellMar>
            <w:top w:w="0" w:type="dxa"/>
            <w:left w:w="0" w:type="dxa"/>
            <w:bottom w:w="0" w:type="dxa"/>
            <w:right w:w="0" w:type="dxa"/>
          </w:tblCellMar>
        </w:tblPrEx>
        <w:trPr>
          <w:trHeight w:val="276" w:hRule="atLeast"/>
          <w:jc w:val="center"/>
        </w:trPr>
        <w:tc>
          <w:tcPr>
            <w:tcW w:w="235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8F6435">
            <w:pPr>
              <w:jc w:val="center"/>
              <w:rPr>
                <w:rFonts w:hint="eastAsia" w:asciiTheme="minorEastAsia" w:hAnsiTheme="minorEastAsia" w:eastAsiaTheme="minorEastAsia" w:cstheme="minorEastAsia"/>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07BE6B">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 xml:space="preserve">  其他资金</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8CAD00">
            <w:pPr>
              <w:jc w:val="center"/>
              <w:rPr>
                <w:rFonts w:hint="eastAsia" w:asciiTheme="minorEastAsia" w:hAnsiTheme="minorEastAsia" w:eastAsiaTheme="minorEastAsia" w:cstheme="minorEastAsia"/>
                <w:sz w:val="20"/>
                <w:szCs w:val="20"/>
              </w:rPr>
            </w:pPr>
          </w:p>
        </w:tc>
        <w:tc>
          <w:tcPr>
            <w:tcW w:w="126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EC1F29D">
            <w:pPr>
              <w:jc w:val="center"/>
              <w:rPr>
                <w:rFonts w:hint="eastAsia" w:asciiTheme="minorEastAsia" w:hAnsiTheme="minorEastAsia" w:eastAsiaTheme="minorEastAsia" w:cstheme="minorEastAsia"/>
                <w:sz w:val="20"/>
                <w:szCs w:val="20"/>
              </w:rPr>
            </w:pP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6AE5EB">
            <w:pPr>
              <w:jc w:val="center"/>
              <w:rPr>
                <w:rFonts w:hint="eastAsia" w:asciiTheme="minorEastAsia" w:hAnsiTheme="minorEastAsia" w:eastAsiaTheme="minorEastAsia" w:cstheme="minorEastAsia"/>
                <w:sz w:val="20"/>
                <w:szCs w:val="20"/>
              </w:rPr>
            </w:pP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4F8D5F">
            <w:pPr>
              <w:jc w:val="center"/>
              <w:rPr>
                <w:rFonts w:hint="eastAsia" w:asciiTheme="minorEastAsia" w:hAnsiTheme="minorEastAsia" w:eastAsiaTheme="minorEastAsia" w:cstheme="minorEastAsia"/>
                <w:sz w:val="20"/>
                <w:szCs w:val="20"/>
              </w:rPr>
            </w:pPr>
          </w:p>
        </w:tc>
      </w:tr>
      <w:tr w14:paraId="255166D0">
        <w:tblPrEx>
          <w:tblCellMar>
            <w:top w:w="0" w:type="dxa"/>
            <w:left w:w="0" w:type="dxa"/>
            <w:bottom w:w="0" w:type="dxa"/>
            <w:right w:w="0" w:type="dxa"/>
          </w:tblCellMar>
        </w:tblPrEx>
        <w:trPr>
          <w:trHeight w:val="276" w:hRule="atLeast"/>
          <w:jc w:val="center"/>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AAD3425">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年度总体目标</w:t>
            </w:r>
          </w:p>
        </w:tc>
        <w:tc>
          <w:tcPr>
            <w:tcW w:w="5793"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91DEA0">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预期目标</w:t>
            </w:r>
          </w:p>
        </w:tc>
        <w:tc>
          <w:tcPr>
            <w:tcW w:w="37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D5010E">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实际完成情况</w:t>
            </w:r>
          </w:p>
        </w:tc>
      </w:tr>
      <w:tr w14:paraId="1957F125">
        <w:tblPrEx>
          <w:tblCellMar>
            <w:top w:w="0" w:type="dxa"/>
            <w:left w:w="0" w:type="dxa"/>
            <w:bottom w:w="0" w:type="dxa"/>
            <w:right w:w="0" w:type="dxa"/>
          </w:tblCellMar>
        </w:tblPrEx>
        <w:trPr>
          <w:trHeight w:val="720"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D8495E1">
            <w:pPr>
              <w:jc w:val="center"/>
              <w:rPr>
                <w:rFonts w:hint="eastAsia" w:asciiTheme="minorEastAsia" w:hAnsiTheme="minorEastAsia" w:eastAsiaTheme="minorEastAsia" w:cstheme="minorEastAsia"/>
                <w:sz w:val="20"/>
                <w:szCs w:val="20"/>
              </w:rPr>
            </w:pPr>
          </w:p>
        </w:tc>
        <w:tc>
          <w:tcPr>
            <w:tcW w:w="5793"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8E4A0C">
            <w:pPr>
              <w:widowControl/>
              <w:spacing w:line="240" w:lineRule="exac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贯彻落实党中央、自治区党委关于“推进美术馆、图书馆、文化馆（站）免费开放，丰富人民群众的精神文化生活”的要求，充分发挥“三馆一站”在提高公民鉴赏能力、提高各族群众思想道德和科学文化素质的作用，保障各族群众基本权益，促进社会和谐稳定。</w:t>
            </w:r>
          </w:p>
        </w:tc>
        <w:tc>
          <w:tcPr>
            <w:tcW w:w="37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6406B82">
            <w:pPr>
              <w:widowControl/>
              <w:spacing w:line="240" w:lineRule="exact"/>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完</w:t>
            </w:r>
            <w:r>
              <w:rPr>
                <w:rFonts w:hint="eastAsia" w:asciiTheme="minorEastAsia" w:hAnsiTheme="minorEastAsia" w:eastAsiaTheme="minorEastAsia" w:cstheme="minorEastAsia"/>
                <w:sz w:val="20"/>
                <w:szCs w:val="20"/>
              </w:rPr>
              <w:t>成我区美术馆、图书馆、文化馆（站）免费开放，丰富人民群众的精神文化生活，提高各族群众思想道德和科学文化素质的作用，保障各族群众基本权益，促进社会和谐稳定。</w:t>
            </w:r>
          </w:p>
        </w:tc>
      </w:tr>
      <w:tr w14:paraId="4987658E">
        <w:tblPrEx>
          <w:tblCellMar>
            <w:top w:w="0" w:type="dxa"/>
            <w:left w:w="0" w:type="dxa"/>
            <w:bottom w:w="0" w:type="dxa"/>
            <w:right w:w="0" w:type="dxa"/>
          </w:tblCellMar>
        </w:tblPrEx>
        <w:trPr>
          <w:trHeight w:val="408" w:hRule="atLeast"/>
          <w:jc w:val="center"/>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06E62F">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绩效指标</w:t>
            </w: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AE11420">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一级指标</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F41DB2">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二级指标</w:t>
            </w:r>
          </w:p>
        </w:tc>
        <w:tc>
          <w:tcPr>
            <w:tcW w:w="318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168B9E">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三级指标</w:t>
            </w:r>
          </w:p>
        </w:tc>
        <w:tc>
          <w:tcPr>
            <w:tcW w:w="953"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1C5A37">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年度指标值</w:t>
            </w:r>
          </w:p>
        </w:tc>
        <w:tc>
          <w:tcPr>
            <w:tcW w:w="134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649B93">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实际完成值</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4934D8">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偏差原因分析及改进措施</w:t>
            </w:r>
          </w:p>
        </w:tc>
      </w:tr>
      <w:tr w14:paraId="61C6644B">
        <w:tblPrEx>
          <w:tblCellMar>
            <w:top w:w="0" w:type="dxa"/>
            <w:left w:w="0" w:type="dxa"/>
            <w:bottom w:w="0" w:type="dxa"/>
            <w:right w:w="0" w:type="dxa"/>
          </w:tblCellMar>
        </w:tblPrEx>
        <w:trPr>
          <w:trHeight w:val="408"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69CE93">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1C5377">
            <w:pPr>
              <w:spacing w:line="240" w:lineRule="exact"/>
              <w:jc w:val="center"/>
              <w:rPr>
                <w:rFonts w:hint="eastAsia" w:asciiTheme="minorEastAsia" w:hAnsiTheme="minorEastAsia" w:eastAsiaTheme="minorEastAsia" w:cstheme="minorEastAsia"/>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BE5797">
            <w:pPr>
              <w:spacing w:line="240" w:lineRule="exact"/>
              <w:jc w:val="center"/>
              <w:rPr>
                <w:rFonts w:hint="eastAsia" w:asciiTheme="minorEastAsia" w:hAnsiTheme="minorEastAsia" w:eastAsiaTheme="minorEastAsia" w:cstheme="minorEastAsia"/>
                <w:sz w:val="20"/>
                <w:szCs w:val="20"/>
              </w:rPr>
            </w:pPr>
          </w:p>
        </w:tc>
        <w:tc>
          <w:tcPr>
            <w:tcW w:w="318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8C6A73">
            <w:pPr>
              <w:spacing w:line="240" w:lineRule="exact"/>
              <w:jc w:val="center"/>
              <w:rPr>
                <w:rFonts w:hint="eastAsia" w:asciiTheme="minorEastAsia" w:hAnsiTheme="minorEastAsia" w:eastAsiaTheme="minorEastAsia" w:cstheme="minorEastAsia"/>
                <w:sz w:val="20"/>
                <w:szCs w:val="20"/>
              </w:rPr>
            </w:pPr>
          </w:p>
        </w:tc>
        <w:tc>
          <w:tcPr>
            <w:tcW w:w="95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5470091">
            <w:pPr>
              <w:spacing w:line="240" w:lineRule="exact"/>
              <w:jc w:val="center"/>
              <w:rPr>
                <w:rFonts w:hint="eastAsia" w:asciiTheme="minorEastAsia" w:hAnsiTheme="minorEastAsia" w:eastAsiaTheme="minorEastAsia" w:cstheme="minorEastAsia"/>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F1C39A">
            <w:pPr>
              <w:spacing w:line="240" w:lineRule="exact"/>
              <w:jc w:val="center"/>
              <w:rPr>
                <w:rFonts w:hint="eastAsia" w:asciiTheme="minorEastAsia" w:hAnsiTheme="minorEastAsia" w:eastAsiaTheme="minorEastAsia" w:cstheme="minorEastAsia"/>
                <w:sz w:val="20"/>
                <w:szCs w:val="20"/>
              </w:rPr>
            </w:pPr>
          </w:p>
        </w:tc>
        <w:tc>
          <w:tcPr>
            <w:tcW w:w="236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36E35F">
            <w:pPr>
              <w:spacing w:line="240" w:lineRule="exact"/>
              <w:jc w:val="center"/>
              <w:rPr>
                <w:rFonts w:hint="eastAsia" w:asciiTheme="minorEastAsia" w:hAnsiTheme="minorEastAsia" w:eastAsiaTheme="minorEastAsia" w:cstheme="minorEastAsia"/>
                <w:sz w:val="20"/>
                <w:szCs w:val="20"/>
              </w:rPr>
            </w:pPr>
          </w:p>
        </w:tc>
      </w:tr>
      <w:tr w14:paraId="7E8CC03F">
        <w:tblPrEx>
          <w:tblCellMar>
            <w:top w:w="0" w:type="dxa"/>
            <w:left w:w="0" w:type="dxa"/>
            <w:bottom w:w="0" w:type="dxa"/>
            <w:right w:w="0" w:type="dxa"/>
          </w:tblCellMar>
        </w:tblPrEx>
        <w:trPr>
          <w:trHeight w:val="483"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FDEA4EF">
            <w:pPr>
              <w:jc w:val="center"/>
              <w:rPr>
                <w:rFonts w:hint="eastAsia" w:asciiTheme="minorEastAsia" w:hAnsiTheme="minorEastAsia" w:eastAsiaTheme="minorEastAsia" w:cstheme="minorEastAsia"/>
                <w:sz w:val="20"/>
                <w:szCs w:val="20"/>
              </w:rPr>
            </w:pP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3C9C78">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产出指标</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9AB92B">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数量指标</w:t>
            </w: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0C6DB05">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指标1：免费开放公共图书馆</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70414C">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105个</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0C64612">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106个</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E5EA0A">
            <w:pPr>
              <w:spacing w:line="240" w:lineRule="exact"/>
              <w:jc w:val="center"/>
              <w:rPr>
                <w:rFonts w:hint="eastAsia" w:asciiTheme="minorEastAsia" w:hAnsiTheme="minorEastAsia" w:eastAsiaTheme="minorEastAsia" w:cstheme="minorEastAsia"/>
                <w:sz w:val="20"/>
                <w:szCs w:val="20"/>
              </w:rPr>
            </w:pPr>
          </w:p>
        </w:tc>
      </w:tr>
      <w:tr w14:paraId="5E0CFBE2">
        <w:tblPrEx>
          <w:tblCellMar>
            <w:top w:w="0" w:type="dxa"/>
            <w:left w:w="0" w:type="dxa"/>
            <w:bottom w:w="0" w:type="dxa"/>
            <w:right w:w="0" w:type="dxa"/>
          </w:tblCellMar>
        </w:tblPrEx>
        <w:trPr>
          <w:trHeight w:val="390"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5180D9A">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FE8AC72">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03466D">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D5A6FE2">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指标2：免费开放文化馆</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5C0418">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115个</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2AA97B">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115个</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3108C4">
            <w:pPr>
              <w:spacing w:line="240" w:lineRule="exact"/>
              <w:jc w:val="center"/>
              <w:rPr>
                <w:rFonts w:hint="eastAsia" w:asciiTheme="minorEastAsia" w:hAnsiTheme="minorEastAsia" w:eastAsiaTheme="minorEastAsia" w:cstheme="minorEastAsia"/>
                <w:sz w:val="20"/>
                <w:szCs w:val="20"/>
              </w:rPr>
            </w:pPr>
          </w:p>
        </w:tc>
      </w:tr>
      <w:tr w14:paraId="47F58174">
        <w:tblPrEx>
          <w:tblCellMar>
            <w:top w:w="0" w:type="dxa"/>
            <w:left w:w="0" w:type="dxa"/>
            <w:bottom w:w="0" w:type="dxa"/>
            <w:right w:w="0" w:type="dxa"/>
          </w:tblCellMar>
        </w:tblPrEx>
        <w:trPr>
          <w:trHeight w:val="411"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6D607C">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E1D4B7">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2D33F69">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EA66F9">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指标3：免费开放美术馆</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422640">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56个</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350280">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56个</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D99B610">
            <w:pPr>
              <w:spacing w:line="240" w:lineRule="exact"/>
              <w:jc w:val="center"/>
              <w:rPr>
                <w:rFonts w:hint="eastAsia" w:asciiTheme="minorEastAsia" w:hAnsiTheme="minorEastAsia" w:eastAsiaTheme="minorEastAsia" w:cstheme="minorEastAsia"/>
                <w:sz w:val="20"/>
                <w:szCs w:val="20"/>
              </w:rPr>
            </w:pPr>
          </w:p>
        </w:tc>
      </w:tr>
      <w:tr w14:paraId="7A0FCDDE">
        <w:tblPrEx>
          <w:tblCellMar>
            <w:top w:w="0" w:type="dxa"/>
            <w:left w:w="0" w:type="dxa"/>
            <w:bottom w:w="0" w:type="dxa"/>
            <w:right w:w="0" w:type="dxa"/>
          </w:tblCellMar>
        </w:tblPrEx>
        <w:trPr>
          <w:trHeight w:val="537"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EF2980">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BFA5B0">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E72EC9">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C2BEB4A">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指标4：免费开放乡镇文化站</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4FA3AF7">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943个</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26756E">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944个</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635169">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免费开放乡镇文化站和城市社区（街道）文化中心总数为1121个</w:t>
            </w:r>
          </w:p>
        </w:tc>
      </w:tr>
      <w:tr w14:paraId="4F48CDEA">
        <w:tblPrEx>
          <w:tblCellMar>
            <w:top w:w="0" w:type="dxa"/>
            <w:left w:w="0" w:type="dxa"/>
            <w:bottom w:w="0" w:type="dxa"/>
            <w:right w:w="0" w:type="dxa"/>
          </w:tblCellMar>
        </w:tblPrEx>
        <w:trPr>
          <w:trHeight w:val="545"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55F7FAA">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49BF09A">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C4FC625">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1E0972">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指标5：城市社区（街道）文化中心</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45F330">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178个</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9BF180">
            <w:pPr>
              <w:spacing w:line="240" w:lineRule="exact"/>
              <w:jc w:val="center"/>
              <w:rPr>
                <w:rFonts w:hint="eastAsia" w:asciiTheme="minorEastAsia" w:hAnsiTheme="minorEastAsia" w:eastAsiaTheme="minorEastAsia" w:cstheme="minorEastAsia"/>
                <w:sz w:val="20"/>
                <w:szCs w:val="20"/>
                <w:highlight w:val="yellow"/>
              </w:rPr>
            </w:pPr>
            <w:r>
              <w:rPr>
                <w:rFonts w:hint="eastAsia" w:asciiTheme="minorEastAsia" w:hAnsiTheme="minorEastAsia" w:eastAsiaTheme="minorEastAsia" w:cstheme="minorEastAsia"/>
                <w:sz w:val="20"/>
                <w:szCs w:val="20"/>
              </w:rPr>
              <w:t>177个</w:t>
            </w:r>
          </w:p>
        </w:tc>
        <w:tc>
          <w:tcPr>
            <w:tcW w:w="236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C81A47">
            <w:pPr>
              <w:spacing w:line="240" w:lineRule="exact"/>
              <w:jc w:val="center"/>
              <w:rPr>
                <w:rFonts w:hint="eastAsia" w:asciiTheme="minorEastAsia" w:hAnsiTheme="minorEastAsia" w:eastAsiaTheme="minorEastAsia" w:cstheme="minorEastAsia"/>
                <w:sz w:val="20"/>
                <w:szCs w:val="20"/>
                <w:highlight w:val="yellow"/>
              </w:rPr>
            </w:pPr>
          </w:p>
        </w:tc>
      </w:tr>
      <w:tr w14:paraId="011B533B">
        <w:tblPrEx>
          <w:tblCellMar>
            <w:top w:w="0" w:type="dxa"/>
            <w:left w:w="0" w:type="dxa"/>
            <w:bottom w:w="0" w:type="dxa"/>
            <w:right w:w="0" w:type="dxa"/>
          </w:tblCellMar>
        </w:tblPrEx>
        <w:trPr>
          <w:trHeight w:val="553"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FDC90D">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96466B">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D4E4EE">
            <w:pPr>
              <w:widowControl/>
              <w:spacing w:line="240" w:lineRule="exact"/>
              <w:jc w:val="center"/>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质量指标</w:t>
            </w: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CA6B5F">
            <w:pPr>
              <w:spacing w:line="240" w:lineRule="exact"/>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指标1：“三馆一站”免费开放覆盖率</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54E7B2">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7D89ED">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65CB1F">
            <w:pPr>
              <w:spacing w:line="240" w:lineRule="exact"/>
              <w:jc w:val="center"/>
              <w:rPr>
                <w:rFonts w:hint="eastAsia" w:asciiTheme="minorEastAsia" w:hAnsiTheme="minorEastAsia" w:eastAsiaTheme="minorEastAsia" w:cstheme="minorEastAsia"/>
                <w:sz w:val="20"/>
                <w:szCs w:val="20"/>
              </w:rPr>
            </w:pPr>
          </w:p>
        </w:tc>
      </w:tr>
      <w:tr w14:paraId="097A311E">
        <w:tblPrEx>
          <w:tblCellMar>
            <w:top w:w="0" w:type="dxa"/>
            <w:left w:w="0" w:type="dxa"/>
            <w:bottom w:w="0" w:type="dxa"/>
            <w:right w:w="0" w:type="dxa"/>
          </w:tblCellMar>
        </w:tblPrEx>
        <w:trPr>
          <w:trHeight w:val="573"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CA5AD9">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737308D">
            <w:pPr>
              <w:spacing w:line="240" w:lineRule="exact"/>
              <w:jc w:val="center"/>
              <w:rPr>
                <w:rFonts w:hint="eastAsia" w:asciiTheme="minorEastAsia" w:hAnsiTheme="minorEastAsia" w:eastAsiaTheme="minorEastAsia" w:cstheme="minorEastAsia"/>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F5C7607">
            <w:pPr>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成本指标</w:t>
            </w: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518D8A">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指标1：地市级公共图书馆、美术馆、文化馆每馆每年补助标准(50万*0.2)</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78403D">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10万元</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8F43F4">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10万元</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404489">
            <w:pPr>
              <w:spacing w:line="240" w:lineRule="exact"/>
              <w:jc w:val="center"/>
              <w:rPr>
                <w:rFonts w:hint="eastAsia" w:asciiTheme="minorEastAsia" w:hAnsiTheme="minorEastAsia" w:eastAsiaTheme="minorEastAsia" w:cstheme="minorEastAsia"/>
                <w:sz w:val="20"/>
                <w:szCs w:val="20"/>
              </w:rPr>
            </w:pPr>
          </w:p>
        </w:tc>
      </w:tr>
      <w:tr w14:paraId="43DD95A8">
        <w:tblPrEx>
          <w:tblCellMar>
            <w:top w:w="0" w:type="dxa"/>
            <w:left w:w="0" w:type="dxa"/>
            <w:bottom w:w="0" w:type="dxa"/>
            <w:right w:w="0" w:type="dxa"/>
          </w:tblCellMar>
        </w:tblPrEx>
        <w:trPr>
          <w:trHeight w:val="836"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E887638">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90EB9C">
            <w:pPr>
              <w:spacing w:line="240" w:lineRule="exact"/>
              <w:jc w:val="center"/>
              <w:rPr>
                <w:rFonts w:hint="eastAsia" w:asciiTheme="minorEastAsia" w:hAnsiTheme="minorEastAsia" w:eastAsiaTheme="minorEastAsia" w:cstheme="minorEastAsia"/>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C272FA">
            <w:pPr>
              <w:spacing w:line="240" w:lineRule="exact"/>
              <w:jc w:val="center"/>
              <w:textAlignment w:val="center"/>
              <w:rPr>
                <w:rFonts w:hint="eastAsia" w:asciiTheme="minorEastAsia" w:hAnsiTheme="minorEastAsia" w:eastAsiaTheme="minorEastAsia" w:cstheme="minorEastAsia"/>
                <w:sz w:val="20"/>
                <w:szCs w:val="20"/>
              </w:rPr>
            </w:pP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8E6002">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指标2：县市级公共图书馆、美术馆、文化馆每馆每年补助标准(20万*0.2)</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55EDE2">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4万元</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0F1375">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4万元</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12C177">
            <w:pPr>
              <w:spacing w:line="240" w:lineRule="exact"/>
              <w:jc w:val="center"/>
              <w:rPr>
                <w:rFonts w:hint="eastAsia" w:asciiTheme="minorEastAsia" w:hAnsiTheme="minorEastAsia" w:eastAsiaTheme="minorEastAsia" w:cstheme="minorEastAsia"/>
                <w:sz w:val="20"/>
                <w:szCs w:val="20"/>
              </w:rPr>
            </w:pPr>
          </w:p>
        </w:tc>
      </w:tr>
      <w:tr w14:paraId="33515985">
        <w:tblPrEx>
          <w:tblCellMar>
            <w:top w:w="0" w:type="dxa"/>
            <w:left w:w="0" w:type="dxa"/>
            <w:bottom w:w="0" w:type="dxa"/>
            <w:right w:w="0" w:type="dxa"/>
          </w:tblCellMar>
        </w:tblPrEx>
        <w:trPr>
          <w:trHeight w:val="566"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552979">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F22339">
            <w:pPr>
              <w:spacing w:line="240" w:lineRule="exact"/>
              <w:jc w:val="center"/>
              <w:rPr>
                <w:rFonts w:hint="eastAsia" w:asciiTheme="minorEastAsia" w:hAnsiTheme="minorEastAsia" w:eastAsiaTheme="minorEastAsia" w:cstheme="minorEastAsia"/>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636764">
            <w:pPr>
              <w:widowControl/>
              <w:spacing w:line="240" w:lineRule="exact"/>
              <w:jc w:val="center"/>
              <w:textAlignment w:val="center"/>
              <w:rPr>
                <w:rFonts w:hint="eastAsia" w:asciiTheme="minorEastAsia" w:hAnsiTheme="minorEastAsia" w:eastAsiaTheme="minorEastAsia" w:cstheme="minorEastAsia"/>
                <w:sz w:val="20"/>
                <w:szCs w:val="20"/>
              </w:rPr>
            </w:pP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EFA126">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指标3：乡镇（街道）综合文化站（中心）每年补助标准(5万*0.2)</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A0339E">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1万元</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049CC49">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1万元</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D66F6A7">
            <w:pPr>
              <w:spacing w:line="240" w:lineRule="exact"/>
              <w:jc w:val="center"/>
              <w:rPr>
                <w:rFonts w:hint="eastAsia" w:asciiTheme="minorEastAsia" w:hAnsiTheme="minorEastAsia" w:eastAsiaTheme="minorEastAsia" w:cstheme="minorEastAsia"/>
                <w:sz w:val="20"/>
                <w:szCs w:val="20"/>
              </w:rPr>
            </w:pPr>
          </w:p>
        </w:tc>
      </w:tr>
      <w:tr w14:paraId="63989F1D">
        <w:tblPrEx>
          <w:tblCellMar>
            <w:top w:w="0" w:type="dxa"/>
            <w:left w:w="0" w:type="dxa"/>
            <w:bottom w:w="0" w:type="dxa"/>
            <w:right w:w="0" w:type="dxa"/>
          </w:tblCellMar>
        </w:tblPrEx>
        <w:trPr>
          <w:trHeight w:val="445"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AC75FF5">
            <w:pPr>
              <w:jc w:val="center"/>
              <w:rPr>
                <w:rFonts w:hint="eastAsia" w:asciiTheme="minorEastAsia" w:hAnsiTheme="minorEastAsia" w:eastAsiaTheme="minorEastAsia" w:cstheme="minorEastAsia"/>
                <w:sz w:val="20"/>
                <w:szCs w:val="20"/>
              </w:rPr>
            </w:pP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879487">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效益指标</w:t>
            </w:r>
          </w:p>
        </w:tc>
        <w:tc>
          <w:tcPr>
            <w:tcW w:w="1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21D71F">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社会效益指标</w:t>
            </w: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2B303D">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指标1：保障群众精神文化需求</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4DEA29">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有效保障</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DC8878">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有效保障</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F43BF9">
            <w:pPr>
              <w:spacing w:line="240" w:lineRule="exact"/>
              <w:jc w:val="center"/>
              <w:rPr>
                <w:rFonts w:hint="eastAsia" w:asciiTheme="minorEastAsia" w:hAnsiTheme="minorEastAsia" w:eastAsiaTheme="minorEastAsia" w:cstheme="minorEastAsia"/>
                <w:sz w:val="20"/>
                <w:szCs w:val="20"/>
              </w:rPr>
            </w:pPr>
          </w:p>
        </w:tc>
      </w:tr>
      <w:tr w14:paraId="01748CD2">
        <w:tblPrEx>
          <w:tblCellMar>
            <w:top w:w="0" w:type="dxa"/>
            <w:left w:w="0" w:type="dxa"/>
            <w:bottom w:w="0" w:type="dxa"/>
            <w:right w:w="0" w:type="dxa"/>
          </w:tblCellMar>
        </w:tblPrEx>
        <w:trPr>
          <w:trHeight w:val="523"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4F6BA2">
            <w:pPr>
              <w:jc w:val="center"/>
              <w:rPr>
                <w:rFonts w:hint="eastAsia" w:asciiTheme="minorEastAsia" w:hAnsiTheme="minorEastAsia" w:eastAsiaTheme="minorEastAsia" w:cstheme="minorEastAsia"/>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54F89A">
            <w:pPr>
              <w:widowControl/>
              <w:spacing w:line="240" w:lineRule="exact"/>
              <w:jc w:val="center"/>
              <w:textAlignment w:val="center"/>
              <w:rPr>
                <w:rFonts w:hint="eastAsia" w:asciiTheme="minorEastAsia" w:hAnsiTheme="minorEastAsia" w:eastAsiaTheme="minorEastAsia" w:cstheme="minorEastAsia"/>
                <w:kern w:val="0"/>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0A05043">
            <w:pPr>
              <w:widowControl/>
              <w:spacing w:line="240" w:lineRule="exact"/>
              <w:jc w:val="center"/>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可持续影响指标</w:t>
            </w: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892E17">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指标1：弘扬传承中华优秀传统文化</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D9A03E">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有效保障</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EB36D0">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有效保障</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AF326C">
            <w:pPr>
              <w:spacing w:line="240" w:lineRule="exact"/>
              <w:jc w:val="center"/>
              <w:rPr>
                <w:rFonts w:hint="eastAsia" w:asciiTheme="minorEastAsia" w:hAnsiTheme="minorEastAsia" w:eastAsiaTheme="minorEastAsia" w:cstheme="minorEastAsia"/>
                <w:sz w:val="20"/>
                <w:szCs w:val="20"/>
              </w:rPr>
            </w:pPr>
          </w:p>
        </w:tc>
      </w:tr>
      <w:tr w14:paraId="63496BDC">
        <w:tblPrEx>
          <w:tblCellMar>
            <w:top w:w="0" w:type="dxa"/>
            <w:left w:w="0" w:type="dxa"/>
            <w:bottom w:w="0" w:type="dxa"/>
            <w:right w:w="0" w:type="dxa"/>
          </w:tblCellMar>
        </w:tblPrEx>
        <w:trPr>
          <w:trHeight w:val="432"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8DE2BD7">
            <w:pPr>
              <w:jc w:val="center"/>
              <w:rPr>
                <w:rFonts w:hint="eastAsia" w:asciiTheme="minorEastAsia" w:hAnsiTheme="minorEastAsia" w:eastAsiaTheme="minorEastAsia" w:cstheme="minorEastAsia"/>
                <w:sz w:val="20"/>
                <w:szCs w:val="20"/>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B7D8EF">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满意度</w:t>
            </w:r>
          </w:p>
        </w:tc>
        <w:tc>
          <w:tcPr>
            <w:tcW w:w="1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8D69E7">
            <w:pPr>
              <w:widowControl/>
              <w:spacing w:line="24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服务对象满意度指标</w:t>
            </w:r>
          </w:p>
        </w:tc>
        <w:tc>
          <w:tcPr>
            <w:tcW w:w="318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F88C8E6">
            <w:pPr>
              <w:spacing w:line="240"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指标1：社会公众对“三馆一站”公共文化服务满意度</w:t>
            </w:r>
          </w:p>
        </w:tc>
        <w:tc>
          <w:tcPr>
            <w:tcW w:w="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EE3092">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≥85%</w:t>
            </w:r>
          </w:p>
        </w:tc>
        <w:tc>
          <w:tcPr>
            <w:tcW w:w="134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7D42AC">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90%</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1F9C8A0">
            <w:pPr>
              <w:spacing w:line="240" w:lineRule="exact"/>
              <w:jc w:val="center"/>
              <w:rPr>
                <w:rFonts w:hint="eastAsia" w:asciiTheme="minorEastAsia" w:hAnsiTheme="minorEastAsia" w:eastAsiaTheme="minorEastAsia" w:cstheme="minorEastAsia"/>
                <w:sz w:val="20"/>
                <w:szCs w:val="20"/>
              </w:rPr>
            </w:pPr>
          </w:p>
        </w:tc>
      </w:tr>
    </w:tbl>
    <w:p w14:paraId="07C44BE9">
      <w:pPr>
        <w:pStyle w:val="2"/>
        <w:jc w:val="both"/>
        <w:rPr>
          <w:rFonts w:ascii="Times New Roman" w:hAnsi="Times New Roman"/>
        </w:rPr>
        <w:sectPr>
          <w:pgSz w:w="11906" w:h="16838"/>
          <w:pgMar w:top="1440" w:right="1558" w:bottom="1440" w:left="1800" w:header="851" w:footer="992" w:gutter="0"/>
          <w:cols w:space="425" w:num="1"/>
          <w:docGrid w:type="lines" w:linePitch="312" w:charSpace="0"/>
        </w:sectPr>
      </w:pPr>
    </w:p>
    <w:p w14:paraId="51B93568">
      <w:pPr>
        <w:spacing w:line="600" w:lineRule="exact"/>
        <w:rPr>
          <w:rFonts w:ascii="黑体" w:hAnsi="黑体" w:eastAsia="黑体"/>
          <w:bCs/>
          <w:sz w:val="32"/>
          <w:szCs w:val="32"/>
        </w:rPr>
      </w:pPr>
      <w:r>
        <w:rPr>
          <w:rFonts w:ascii="黑体" w:hAnsi="黑体" w:eastAsia="黑体"/>
          <w:bCs/>
          <w:sz w:val="32"/>
          <w:szCs w:val="32"/>
        </w:rPr>
        <w:t>附件1</w:t>
      </w: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26"/>
        <w:gridCol w:w="627"/>
        <w:gridCol w:w="688"/>
        <w:gridCol w:w="4305"/>
        <w:gridCol w:w="6889"/>
        <w:gridCol w:w="500"/>
        <w:gridCol w:w="539"/>
      </w:tblGrid>
      <w:tr w14:paraId="3B24A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0" w:type="auto"/>
            <w:shd w:val="clear" w:color="auto" w:fill="FFFFFF"/>
            <w:vAlign w:val="center"/>
          </w:tcPr>
          <w:p w14:paraId="39789CB2">
            <w:pPr>
              <w:widowControl/>
              <w:spacing w:line="0" w:lineRule="atLeast"/>
              <w:jc w:val="center"/>
              <w:rPr>
                <w:b/>
                <w:bCs/>
                <w:color w:val="000000"/>
                <w:kern w:val="0"/>
                <w:sz w:val="22"/>
                <w:szCs w:val="22"/>
              </w:rPr>
            </w:pPr>
            <w:bookmarkStart w:id="2" w:name="_GoBack"/>
            <w:r>
              <w:rPr>
                <w:b/>
                <w:bCs/>
                <w:color w:val="000000"/>
                <w:kern w:val="0"/>
                <w:sz w:val="22"/>
                <w:szCs w:val="22"/>
              </w:rPr>
              <w:t>一级指标</w:t>
            </w:r>
          </w:p>
        </w:tc>
        <w:tc>
          <w:tcPr>
            <w:tcW w:w="0" w:type="auto"/>
            <w:shd w:val="clear" w:color="auto" w:fill="FFFFFF"/>
            <w:vAlign w:val="center"/>
          </w:tcPr>
          <w:p w14:paraId="3168B4E9">
            <w:pPr>
              <w:widowControl/>
              <w:spacing w:line="0" w:lineRule="atLeast"/>
              <w:jc w:val="center"/>
              <w:rPr>
                <w:b/>
                <w:bCs/>
                <w:color w:val="000000"/>
                <w:kern w:val="0"/>
                <w:sz w:val="22"/>
                <w:szCs w:val="22"/>
              </w:rPr>
            </w:pPr>
            <w:r>
              <w:rPr>
                <w:b/>
                <w:bCs/>
                <w:color w:val="000000"/>
                <w:kern w:val="0"/>
                <w:sz w:val="22"/>
                <w:szCs w:val="22"/>
              </w:rPr>
              <w:t>二级指标</w:t>
            </w:r>
          </w:p>
        </w:tc>
        <w:tc>
          <w:tcPr>
            <w:tcW w:w="0" w:type="auto"/>
            <w:shd w:val="clear" w:color="auto" w:fill="FFFFFF"/>
            <w:vAlign w:val="center"/>
          </w:tcPr>
          <w:p w14:paraId="2A8D7AB5">
            <w:pPr>
              <w:widowControl/>
              <w:spacing w:line="0" w:lineRule="atLeast"/>
              <w:jc w:val="center"/>
              <w:rPr>
                <w:b/>
                <w:bCs/>
                <w:color w:val="000000"/>
                <w:kern w:val="0"/>
                <w:sz w:val="22"/>
                <w:szCs w:val="22"/>
              </w:rPr>
            </w:pPr>
            <w:r>
              <w:rPr>
                <w:b/>
                <w:bCs/>
                <w:color w:val="000000"/>
                <w:kern w:val="0"/>
                <w:sz w:val="22"/>
                <w:szCs w:val="22"/>
              </w:rPr>
              <w:t>三级指标</w:t>
            </w:r>
          </w:p>
        </w:tc>
        <w:tc>
          <w:tcPr>
            <w:tcW w:w="0" w:type="auto"/>
            <w:shd w:val="clear" w:color="auto" w:fill="FFFFFF"/>
            <w:vAlign w:val="center"/>
          </w:tcPr>
          <w:p w14:paraId="2F589DA2">
            <w:pPr>
              <w:widowControl/>
              <w:spacing w:line="0" w:lineRule="atLeast"/>
              <w:jc w:val="center"/>
              <w:rPr>
                <w:b/>
                <w:bCs/>
                <w:color w:val="000000"/>
                <w:kern w:val="0"/>
                <w:sz w:val="22"/>
                <w:szCs w:val="22"/>
              </w:rPr>
            </w:pPr>
            <w:r>
              <w:rPr>
                <w:b/>
                <w:bCs/>
                <w:color w:val="000000"/>
                <w:kern w:val="0"/>
                <w:sz w:val="22"/>
                <w:szCs w:val="22"/>
              </w:rPr>
              <w:t>指标解释</w:t>
            </w:r>
          </w:p>
        </w:tc>
        <w:tc>
          <w:tcPr>
            <w:tcW w:w="0" w:type="auto"/>
            <w:shd w:val="clear" w:color="auto" w:fill="FFFFFF"/>
            <w:vAlign w:val="center"/>
          </w:tcPr>
          <w:p w14:paraId="78DDD74C">
            <w:pPr>
              <w:widowControl/>
              <w:spacing w:line="0" w:lineRule="atLeast"/>
              <w:jc w:val="center"/>
              <w:rPr>
                <w:b/>
                <w:bCs/>
                <w:color w:val="000000"/>
                <w:kern w:val="0"/>
                <w:sz w:val="22"/>
                <w:szCs w:val="22"/>
              </w:rPr>
            </w:pPr>
            <w:r>
              <w:rPr>
                <w:b/>
                <w:bCs/>
                <w:color w:val="000000"/>
                <w:kern w:val="0"/>
                <w:sz w:val="22"/>
                <w:szCs w:val="22"/>
              </w:rPr>
              <w:t>指标说明</w:t>
            </w:r>
          </w:p>
        </w:tc>
        <w:tc>
          <w:tcPr>
            <w:tcW w:w="0" w:type="auto"/>
            <w:shd w:val="clear" w:color="auto" w:fill="FFFFFF"/>
            <w:vAlign w:val="center"/>
          </w:tcPr>
          <w:p w14:paraId="193F3656">
            <w:pPr>
              <w:widowControl/>
              <w:spacing w:line="0" w:lineRule="atLeast"/>
              <w:jc w:val="center"/>
              <w:rPr>
                <w:b/>
                <w:bCs/>
                <w:color w:val="000000"/>
                <w:kern w:val="0"/>
                <w:sz w:val="22"/>
                <w:szCs w:val="22"/>
              </w:rPr>
            </w:pPr>
            <w:r>
              <w:rPr>
                <w:b/>
                <w:bCs/>
                <w:color w:val="000000"/>
                <w:kern w:val="0"/>
                <w:sz w:val="22"/>
                <w:szCs w:val="22"/>
              </w:rPr>
              <w:t>权重</w:t>
            </w:r>
          </w:p>
        </w:tc>
        <w:tc>
          <w:tcPr>
            <w:tcW w:w="0" w:type="auto"/>
            <w:shd w:val="clear" w:color="auto" w:fill="FFFFFF"/>
            <w:vAlign w:val="center"/>
          </w:tcPr>
          <w:p w14:paraId="0F3118C6">
            <w:pPr>
              <w:widowControl/>
              <w:spacing w:line="0" w:lineRule="atLeast"/>
              <w:jc w:val="center"/>
              <w:rPr>
                <w:b/>
                <w:bCs/>
                <w:color w:val="000000"/>
                <w:kern w:val="0"/>
                <w:sz w:val="22"/>
                <w:szCs w:val="22"/>
              </w:rPr>
            </w:pPr>
            <w:r>
              <w:rPr>
                <w:b/>
                <w:bCs/>
                <w:color w:val="000000"/>
                <w:kern w:val="0"/>
                <w:sz w:val="22"/>
                <w:szCs w:val="22"/>
              </w:rPr>
              <w:t>得分</w:t>
            </w:r>
          </w:p>
        </w:tc>
      </w:tr>
      <w:tr w14:paraId="01A8C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0" w:type="auto"/>
            <w:vMerge w:val="restart"/>
            <w:shd w:val="clear" w:color="auto" w:fill="FFFFFF"/>
            <w:vAlign w:val="center"/>
          </w:tcPr>
          <w:p w14:paraId="6CFF733F">
            <w:pPr>
              <w:widowControl/>
              <w:spacing w:line="0" w:lineRule="atLeast"/>
              <w:jc w:val="center"/>
              <w:rPr>
                <w:color w:val="000000"/>
                <w:kern w:val="0"/>
                <w:sz w:val="22"/>
                <w:szCs w:val="22"/>
              </w:rPr>
            </w:pPr>
            <w:r>
              <w:rPr>
                <w:color w:val="000000"/>
                <w:kern w:val="0"/>
                <w:sz w:val="22"/>
                <w:szCs w:val="22"/>
              </w:rPr>
              <w:t>决策　</w:t>
            </w:r>
          </w:p>
          <w:p w14:paraId="6CB469D1">
            <w:pPr>
              <w:widowControl/>
              <w:spacing w:line="0" w:lineRule="atLeast"/>
              <w:jc w:val="center"/>
              <w:rPr>
                <w:color w:val="000000"/>
                <w:kern w:val="0"/>
                <w:sz w:val="22"/>
                <w:szCs w:val="22"/>
              </w:rPr>
            </w:pPr>
            <w:r>
              <w:rPr>
                <w:color w:val="000000"/>
                <w:kern w:val="0"/>
                <w:sz w:val="22"/>
                <w:szCs w:val="22"/>
              </w:rPr>
              <w:t>　</w:t>
            </w:r>
          </w:p>
          <w:p w14:paraId="5A5ED9CB">
            <w:pPr>
              <w:spacing w:line="0" w:lineRule="atLeast"/>
              <w:jc w:val="center"/>
              <w:rPr>
                <w:color w:val="000000"/>
                <w:kern w:val="0"/>
                <w:sz w:val="22"/>
                <w:szCs w:val="22"/>
              </w:rPr>
            </w:pPr>
            <w:r>
              <w:rPr>
                <w:color w:val="000000"/>
                <w:kern w:val="0"/>
                <w:sz w:val="22"/>
                <w:szCs w:val="22"/>
              </w:rPr>
              <w:t>　</w:t>
            </w:r>
          </w:p>
        </w:tc>
        <w:tc>
          <w:tcPr>
            <w:tcW w:w="0" w:type="auto"/>
            <w:vMerge w:val="restart"/>
            <w:shd w:val="clear" w:color="auto" w:fill="FFFFFF"/>
            <w:vAlign w:val="center"/>
          </w:tcPr>
          <w:p w14:paraId="6F7F3D6D">
            <w:pPr>
              <w:widowControl/>
              <w:spacing w:line="0" w:lineRule="atLeast"/>
              <w:jc w:val="center"/>
              <w:rPr>
                <w:color w:val="000000"/>
                <w:kern w:val="0"/>
                <w:sz w:val="22"/>
                <w:szCs w:val="22"/>
              </w:rPr>
            </w:pPr>
            <w:r>
              <w:rPr>
                <w:color w:val="000000"/>
                <w:kern w:val="0"/>
                <w:sz w:val="22"/>
                <w:szCs w:val="22"/>
              </w:rPr>
              <w:t>项目立项　</w:t>
            </w:r>
          </w:p>
        </w:tc>
        <w:tc>
          <w:tcPr>
            <w:tcW w:w="0" w:type="auto"/>
            <w:shd w:val="clear" w:color="auto" w:fill="FFFFFF"/>
            <w:vAlign w:val="center"/>
          </w:tcPr>
          <w:p w14:paraId="672E26ED">
            <w:pPr>
              <w:widowControl/>
              <w:spacing w:line="0" w:lineRule="atLeast"/>
              <w:jc w:val="center"/>
              <w:rPr>
                <w:color w:val="000000"/>
                <w:kern w:val="0"/>
                <w:sz w:val="22"/>
                <w:szCs w:val="22"/>
              </w:rPr>
            </w:pPr>
            <w:r>
              <w:rPr>
                <w:color w:val="000000"/>
                <w:kern w:val="0"/>
                <w:sz w:val="22"/>
                <w:szCs w:val="22"/>
              </w:rPr>
              <w:t>立项依据</w:t>
            </w:r>
          </w:p>
          <w:p w14:paraId="65F3FC91">
            <w:pPr>
              <w:widowControl/>
              <w:spacing w:line="0" w:lineRule="atLeast"/>
              <w:jc w:val="center"/>
              <w:rPr>
                <w:color w:val="000000"/>
                <w:kern w:val="0"/>
                <w:sz w:val="22"/>
                <w:szCs w:val="22"/>
              </w:rPr>
            </w:pPr>
            <w:r>
              <w:rPr>
                <w:color w:val="000000"/>
                <w:kern w:val="0"/>
                <w:sz w:val="22"/>
                <w:szCs w:val="22"/>
              </w:rPr>
              <w:t>充分性</w:t>
            </w:r>
          </w:p>
        </w:tc>
        <w:tc>
          <w:tcPr>
            <w:tcW w:w="0" w:type="auto"/>
            <w:shd w:val="clear" w:color="auto" w:fill="FFFFFF"/>
            <w:vAlign w:val="center"/>
          </w:tcPr>
          <w:p w14:paraId="08C9C36C">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0" w:type="auto"/>
            <w:shd w:val="clear" w:color="auto" w:fill="FFFFFF"/>
            <w:vAlign w:val="center"/>
          </w:tcPr>
          <w:p w14:paraId="3C8F3053">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0" w:type="auto"/>
            <w:shd w:val="clear" w:color="auto" w:fill="FFFFFF"/>
            <w:vAlign w:val="center"/>
          </w:tcPr>
          <w:p w14:paraId="0F7A4C88">
            <w:pPr>
              <w:widowControl/>
              <w:spacing w:line="0" w:lineRule="atLeast"/>
              <w:jc w:val="center"/>
              <w:rPr>
                <w:b/>
                <w:bCs/>
                <w:color w:val="000000"/>
                <w:kern w:val="0"/>
                <w:sz w:val="22"/>
                <w:szCs w:val="22"/>
              </w:rPr>
            </w:pPr>
            <w:r>
              <w:rPr>
                <w:rFonts w:hint="eastAsia"/>
                <w:b/>
                <w:bCs/>
                <w:color w:val="000000"/>
                <w:kern w:val="0"/>
                <w:sz w:val="22"/>
                <w:szCs w:val="22"/>
              </w:rPr>
              <w:t>3</w:t>
            </w:r>
          </w:p>
        </w:tc>
        <w:tc>
          <w:tcPr>
            <w:tcW w:w="0" w:type="auto"/>
            <w:shd w:val="clear" w:color="auto" w:fill="FFFFFF"/>
            <w:vAlign w:val="center"/>
          </w:tcPr>
          <w:p w14:paraId="03AAC9B0">
            <w:pPr>
              <w:widowControl/>
              <w:spacing w:line="0" w:lineRule="atLeast"/>
              <w:jc w:val="center"/>
              <w:rPr>
                <w:b/>
                <w:bCs/>
                <w:color w:val="000000"/>
                <w:kern w:val="0"/>
                <w:sz w:val="22"/>
                <w:szCs w:val="22"/>
              </w:rPr>
            </w:pPr>
            <w:r>
              <w:rPr>
                <w:rFonts w:hint="eastAsia"/>
                <w:b/>
                <w:bCs/>
                <w:color w:val="000000"/>
                <w:kern w:val="0"/>
                <w:sz w:val="22"/>
                <w:szCs w:val="22"/>
              </w:rPr>
              <w:t>3</w:t>
            </w:r>
          </w:p>
        </w:tc>
      </w:tr>
      <w:tr w14:paraId="033CE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38" w:hRule="atLeast"/>
          <w:jc w:val="center"/>
        </w:trPr>
        <w:tc>
          <w:tcPr>
            <w:tcW w:w="0" w:type="auto"/>
            <w:vMerge w:val="continue"/>
            <w:shd w:val="clear" w:color="auto" w:fill="FFFFFF"/>
            <w:vAlign w:val="center"/>
          </w:tcPr>
          <w:p w14:paraId="4E0CFEF9">
            <w:pPr>
              <w:spacing w:line="0" w:lineRule="atLeast"/>
              <w:jc w:val="center"/>
              <w:rPr>
                <w:color w:val="000000"/>
                <w:kern w:val="0"/>
                <w:sz w:val="22"/>
                <w:szCs w:val="22"/>
              </w:rPr>
            </w:pPr>
          </w:p>
        </w:tc>
        <w:tc>
          <w:tcPr>
            <w:tcW w:w="0" w:type="auto"/>
            <w:vMerge w:val="continue"/>
            <w:shd w:val="clear" w:color="auto" w:fill="FFFFFF"/>
            <w:vAlign w:val="center"/>
          </w:tcPr>
          <w:p w14:paraId="7172241F">
            <w:pPr>
              <w:widowControl/>
              <w:spacing w:line="0" w:lineRule="atLeast"/>
              <w:jc w:val="center"/>
              <w:rPr>
                <w:color w:val="000000"/>
                <w:kern w:val="0"/>
                <w:sz w:val="22"/>
                <w:szCs w:val="22"/>
              </w:rPr>
            </w:pPr>
          </w:p>
        </w:tc>
        <w:tc>
          <w:tcPr>
            <w:tcW w:w="0" w:type="auto"/>
            <w:shd w:val="clear" w:color="auto" w:fill="FFFFFF"/>
            <w:vAlign w:val="center"/>
          </w:tcPr>
          <w:p w14:paraId="52C782DE">
            <w:pPr>
              <w:widowControl/>
              <w:spacing w:line="0" w:lineRule="atLeast"/>
              <w:jc w:val="center"/>
              <w:rPr>
                <w:color w:val="000000"/>
                <w:kern w:val="0"/>
                <w:sz w:val="22"/>
                <w:szCs w:val="22"/>
              </w:rPr>
            </w:pPr>
            <w:r>
              <w:rPr>
                <w:color w:val="000000"/>
                <w:kern w:val="0"/>
                <w:sz w:val="22"/>
                <w:szCs w:val="22"/>
              </w:rPr>
              <w:t>立项程序</w:t>
            </w:r>
          </w:p>
          <w:p w14:paraId="145192CA">
            <w:pPr>
              <w:widowControl/>
              <w:spacing w:line="0" w:lineRule="atLeast"/>
              <w:jc w:val="center"/>
              <w:rPr>
                <w:color w:val="000000"/>
                <w:kern w:val="0"/>
                <w:sz w:val="22"/>
                <w:szCs w:val="22"/>
              </w:rPr>
            </w:pPr>
            <w:r>
              <w:rPr>
                <w:color w:val="000000"/>
                <w:kern w:val="0"/>
                <w:sz w:val="22"/>
                <w:szCs w:val="22"/>
              </w:rPr>
              <w:t>规范性</w:t>
            </w:r>
          </w:p>
        </w:tc>
        <w:tc>
          <w:tcPr>
            <w:tcW w:w="0" w:type="auto"/>
            <w:shd w:val="clear" w:color="auto" w:fill="FFFFFF"/>
            <w:vAlign w:val="center"/>
          </w:tcPr>
          <w:p w14:paraId="0347BCF6">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0" w:type="auto"/>
            <w:shd w:val="clear" w:color="auto" w:fill="FFFFFF"/>
            <w:vAlign w:val="center"/>
          </w:tcPr>
          <w:p w14:paraId="485D80F1">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0" w:type="auto"/>
            <w:shd w:val="clear" w:color="auto" w:fill="FFFFFF"/>
            <w:vAlign w:val="center"/>
          </w:tcPr>
          <w:p w14:paraId="66DDB8D8">
            <w:pPr>
              <w:widowControl/>
              <w:spacing w:line="0" w:lineRule="atLeast"/>
              <w:jc w:val="center"/>
              <w:rPr>
                <w:b/>
                <w:bCs/>
                <w:color w:val="000000"/>
                <w:kern w:val="0"/>
                <w:sz w:val="22"/>
                <w:szCs w:val="22"/>
              </w:rPr>
            </w:pPr>
            <w:r>
              <w:rPr>
                <w:rFonts w:hint="eastAsia"/>
                <w:b/>
                <w:bCs/>
                <w:color w:val="000000"/>
                <w:kern w:val="0"/>
                <w:sz w:val="22"/>
                <w:szCs w:val="22"/>
              </w:rPr>
              <w:t>3</w:t>
            </w:r>
          </w:p>
        </w:tc>
        <w:tc>
          <w:tcPr>
            <w:tcW w:w="0" w:type="auto"/>
            <w:shd w:val="clear" w:color="auto" w:fill="FFFFFF"/>
            <w:vAlign w:val="center"/>
          </w:tcPr>
          <w:p w14:paraId="03F279D3">
            <w:pPr>
              <w:widowControl/>
              <w:spacing w:line="0" w:lineRule="atLeast"/>
              <w:jc w:val="center"/>
              <w:rPr>
                <w:b/>
                <w:bCs/>
                <w:color w:val="000000"/>
                <w:kern w:val="0"/>
                <w:sz w:val="22"/>
                <w:szCs w:val="22"/>
              </w:rPr>
            </w:pPr>
            <w:r>
              <w:rPr>
                <w:rFonts w:hint="eastAsia"/>
                <w:b/>
                <w:bCs/>
                <w:color w:val="000000"/>
                <w:kern w:val="0"/>
                <w:sz w:val="22"/>
                <w:szCs w:val="22"/>
              </w:rPr>
              <w:t>3</w:t>
            </w:r>
          </w:p>
        </w:tc>
      </w:tr>
      <w:tr w14:paraId="5E17B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0" w:type="auto"/>
            <w:vMerge w:val="continue"/>
            <w:shd w:val="clear" w:color="auto" w:fill="FFFFFF"/>
            <w:vAlign w:val="center"/>
          </w:tcPr>
          <w:p w14:paraId="001E3A01">
            <w:pPr>
              <w:spacing w:line="0" w:lineRule="atLeast"/>
              <w:jc w:val="center"/>
              <w:rPr>
                <w:color w:val="000000"/>
                <w:kern w:val="0"/>
                <w:sz w:val="22"/>
                <w:szCs w:val="22"/>
              </w:rPr>
            </w:pPr>
          </w:p>
        </w:tc>
        <w:tc>
          <w:tcPr>
            <w:tcW w:w="0" w:type="auto"/>
            <w:shd w:val="clear" w:color="auto" w:fill="FFFFFF"/>
            <w:vAlign w:val="center"/>
          </w:tcPr>
          <w:p w14:paraId="579E205E">
            <w:pPr>
              <w:widowControl/>
              <w:spacing w:line="0" w:lineRule="atLeast"/>
              <w:jc w:val="center"/>
              <w:rPr>
                <w:color w:val="000000"/>
                <w:kern w:val="0"/>
                <w:sz w:val="22"/>
                <w:szCs w:val="22"/>
              </w:rPr>
            </w:pPr>
            <w:r>
              <w:rPr>
                <w:color w:val="000000"/>
                <w:kern w:val="0"/>
                <w:sz w:val="22"/>
                <w:szCs w:val="22"/>
              </w:rPr>
              <w:t>绩效目标　</w:t>
            </w:r>
          </w:p>
        </w:tc>
        <w:tc>
          <w:tcPr>
            <w:tcW w:w="0" w:type="auto"/>
            <w:shd w:val="clear" w:color="auto" w:fill="FFFFFF"/>
            <w:vAlign w:val="center"/>
          </w:tcPr>
          <w:p w14:paraId="3F922E44">
            <w:pPr>
              <w:widowControl/>
              <w:spacing w:line="0" w:lineRule="atLeast"/>
              <w:jc w:val="center"/>
              <w:rPr>
                <w:color w:val="000000"/>
                <w:kern w:val="0"/>
                <w:sz w:val="22"/>
                <w:szCs w:val="22"/>
              </w:rPr>
            </w:pPr>
            <w:r>
              <w:rPr>
                <w:color w:val="000000"/>
                <w:kern w:val="0"/>
                <w:sz w:val="22"/>
                <w:szCs w:val="22"/>
              </w:rPr>
              <w:t>绩效目标</w:t>
            </w:r>
          </w:p>
          <w:p w14:paraId="54831851">
            <w:pPr>
              <w:widowControl/>
              <w:spacing w:line="0" w:lineRule="atLeast"/>
              <w:jc w:val="center"/>
              <w:rPr>
                <w:color w:val="000000"/>
                <w:kern w:val="0"/>
                <w:sz w:val="22"/>
                <w:szCs w:val="22"/>
              </w:rPr>
            </w:pPr>
            <w:r>
              <w:rPr>
                <w:color w:val="000000"/>
                <w:kern w:val="0"/>
                <w:sz w:val="22"/>
                <w:szCs w:val="22"/>
              </w:rPr>
              <w:t>合理性</w:t>
            </w:r>
          </w:p>
        </w:tc>
        <w:tc>
          <w:tcPr>
            <w:tcW w:w="0" w:type="auto"/>
            <w:shd w:val="clear" w:color="000000" w:fill="FFFFFF"/>
            <w:vAlign w:val="center"/>
          </w:tcPr>
          <w:p w14:paraId="13D86EA8">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0" w:type="auto"/>
            <w:shd w:val="clear" w:color="000000" w:fill="FFFFFF"/>
            <w:vAlign w:val="center"/>
          </w:tcPr>
          <w:p w14:paraId="1DBEA596">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14:paraId="02F5DD50">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0" w:type="auto"/>
            <w:shd w:val="clear" w:color="000000" w:fill="FFFFFF"/>
            <w:vAlign w:val="center"/>
          </w:tcPr>
          <w:p w14:paraId="09B71885">
            <w:pPr>
              <w:widowControl/>
              <w:spacing w:line="0" w:lineRule="atLeast"/>
              <w:jc w:val="center"/>
              <w:rPr>
                <w:b/>
                <w:bCs/>
                <w:color w:val="000000"/>
                <w:kern w:val="0"/>
                <w:sz w:val="22"/>
                <w:szCs w:val="22"/>
              </w:rPr>
            </w:pPr>
            <w:r>
              <w:rPr>
                <w:rFonts w:hint="eastAsia"/>
                <w:b/>
                <w:bCs/>
                <w:color w:val="000000"/>
                <w:kern w:val="0"/>
                <w:sz w:val="22"/>
                <w:szCs w:val="22"/>
              </w:rPr>
              <w:t>4</w:t>
            </w:r>
          </w:p>
        </w:tc>
        <w:tc>
          <w:tcPr>
            <w:tcW w:w="0" w:type="auto"/>
            <w:shd w:val="clear" w:color="000000" w:fill="FFFFFF"/>
            <w:vAlign w:val="center"/>
          </w:tcPr>
          <w:p w14:paraId="243F6600">
            <w:pPr>
              <w:widowControl/>
              <w:spacing w:line="0" w:lineRule="atLeast"/>
              <w:jc w:val="center"/>
              <w:rPr>
                <w:b/>
                <w:bCs/>
                <w:color w:val="000000"/>
                <w:kern w:val="0"/>
                <w:sz w:val="22"/>
                <w:szCs w:val="22"/>
              </w:rPr>
            </w:pPr>
            <w:r>
              <w:rPr>
                <w:rFonts w:hint="eastAsia"/>
                <w:b/>
                <w:bCs/>
                <w:color w:val="000000"/>
                <w:kern w:val="0"/>
                <w:sz w:val="22"/>
                <w:szCs w:val="22"/>
              </w:rPr>
              <w:t>4</w:t>
            </w:r>
          </w:p>
        </w:tc>
      </w:tr>
      <w:tr w14:paraId="36F45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0" w:type="auto"/>
            <w:vMerge w:val="restart"/>
            <w:shd w:val="clear" w:color="auto" w:fill="FFFFFF"/>
            <w:vAlign w:val="center"/>
          </w:tcPr>
          <w:p w14:paraId="570FF8A3">
            <w:pPr>
              <w:widowControl/>
              <w:spacing w:line="0" w:lineRule="atLeast"/>
              <w:jc w:val="center"/>
              <w:rPr>
                <w:color w:val="000000"/>
                <w:kern w:val="0"/>
                <w:sz w:val="22"/>
                <w:szCs w:val="22"/>
              </w:rPr>
            </w:pPr>
            <w:r>
              <w:rPr>
                <w:color w:val="000000"/>
                <w:kern w:val="0"/>
                <w:sz w:val="22"/>
                <w:szCs w:val="22"/>
              </w:rPr>
              <w:t>决策　</w:t>
            </w:r>
          </w:p>
        </w:tc>
        <w:tc>
          <w:tcPr>
            <w:tcW w:w="0" w:type="auto"/>
            <w:shd w:val="clear" w:color="auto" w:fill="FFFFFF"/>
            <w:vAlign w:val="center"/>
          </w:tcPr>
          <w:p w14:paraId="5D47B538">
            <w:pPr>
              <w:widowControl/>
              <w:spacing w:line="0" w:lineRule="atLeast"/>
              <w:jc w:val="center"/>
              <w:rPr>
                <w:color w:val="000000"/>
                <w:kern w:val="0"/>
                <w:sz w:val="22"/>
                <w:szCs w:val="22"/>
              </w:rPr>
            </w:pPr>
            <w:r>
              <w:rPr>
                <w:color w:val="000000"/>
                <w:kern w:val="0"/>
                <w:sz w:val="22"/>
                <w:szCs w:val="22"/>
              </w:rPr>
              <w:t>绩效目标</w:t>
            </w:r>
          </w:p>
        </w:tc>
        <w:tc>
          <w:tcPr>
            <w:tcW w:w="0" w:type="auto"/>
            <w:shd w:val="clear" w:color="auto" w:fill="FFFFFF"/>
            <w:vAlign w:val="center"/>
          </w:tcPr>
          <w:p w14:paraId="403B1974">
            <w:pPr>
              <w:widowControl/>
              <w:spacing w:line="0" w:lineRule="atLeast"/>
              <w:jc w:val="center"/>
              <w:rPr>
                <w:color w:val="000000"/>
                <w:kern w:val="0"/>
                <w:sz w:val="22"/>
                <w:szCs w:val="22"/>
              </w:rPr>
            </w:pPr>
            <w:r>
              <w:rPr>
                <w:color w:val="000000"/>
                <w:kern w:val="0"/>
                <w:sz w:val="22"/>
                <w:szCs w:val="22"/>
              </w:rPr>
              <w:t>绩效指标</w:t>
            </w:r>
          </w:p>
          <w:p w14:paraId="3B57C502">
            <w:pPr>
              <w:widowControl/>
              <w:spacing w:line="0" w:lineRule="atLeast"/>
              <w:jc w:val="center"/>
              <w:rPr>
                <w:color w:val="000000"/>
                <w:kern w:val="0"/>
                <w:sz w:val="22"/>
                <w:szCs w:val="22"/>
              </w:rPr>
            </w:pPr>
            <w:r>
              <w:rPr>
                <w:color w:val="000000"/>
                <w:kern w:val="0"/>
                <w:sz w:val="22"/>
                <w:szCs w:val="22"/>
              </w:rPr>
              <w:t>明确性</w:t>
            </w:r>
          </w:p>
        </w:tc>
        <w:tc>
          <w:tcPr>
            <w:tcW w:w="0" w:type="auto"/>
            <w:shd w:val="clear" w:color="000000" w:fill="FFFFFF"/>
            <w:vAlign w:val="center"/>
          </w:tcPr>
          <w:p w14:paraId="0F0E694E">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0" w:type="auto"/>
            <w:shd w:val="clear" w:color="000000" w:fill="FFFFFF"/>
            <w:vAlign w:val="center"/>
          </w:tcPr>
          <w:p w14:paraId="3DE0ECB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0" w:type="auto"/>
            <w:shd w:val="clear" w:color="000000" w:fill="FFFFFF"/>
            <w:vAlign w:val="center"/>
          </w:tcPr>
          <w:p w14:paraId="4A8E6972">
            <w:pPr>
              <w:widowControl/>
              <w:spacing w:line="0" w:lineRule="atLeast"/>
              <w:jc w:val="center"/>
              <w:rPr>
                <w:b/>
                <w:bCs/>
                <w:color w:val="000000"/>
                <w:kern w:val="0"/>
                <w:sz w:val="22"/>
                <w:szCs w:val="22"/>
              </w:rPr>
            </w:pPr>
            <w:r>
              <w:rPr>
                <w:rFonts w:hint="eastAsia"/>
                <w:b/>
                <w:bCs/>
                <w:color w:val="000000"/>
                <w:kern w:val="0"/>
                <w:sz w:val="22"/>
                <w:szCs w:val="22"/>
              </w:rPr>
              <w:t>3</w:t>
            </w:r>
          </w:p>
        </w:tc>
        <w:tc>
          <w:tcPr>
            <w:tcW w:w="0" w:type="auto"/>
            <w:shd w:val="clear" w:color="000000" w:fill="FFFFFF"/>
            <w:vAlign w:val="center"/>
          </w:tcPr>
          <w:p w14:paraId="47F12D6F">
            <w:pPr>
              <w:widowControl/>
              <w:spacing w:line="0" w:lineRule="atLeast"/>
              <w:jc w:val="center"/>
              <w:rPr>
                <w:b/>
                <w:bCs/>
                <w:color w:val="000000"/>
                <w:kern w:val="0"/>
                <w:sz w:val="22"/>
                <w:szCs w:val="22"/>
              </w:rPr>
            </w:pPr>
            <w:r>
              <w:rPr>
                <w:rFonts w:hint="eastAsia"/>
                <w:b/>
                <w:bCs/>
                <w:color w:val="000000"/>
                <w:kern w:val="0"/>
                <w:sz w:val="22"/>
                <w:szCs w:val="22"/>
              </w:rPr>
              <w:t>3</w:t>
            </w:r>
          </w:p>
        </w:tc>
      </w:tr>
      <w:tr w14:paraId="7C242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0" w:type="auto"/>
            <w:vMerge w:val="continue"/>
            <w:shd w:val="clear" w:color="auto" w:fill="FFFFFF"/>
            <w:vAlign w:val="center"/>
          </w:tcPr>
          <w:p w14:paraId="0D6581C7">
            <w:pPr>
              <w:spacing w:line="0" w:lineRule="atLeast"/>
              <w:jc w:val="center"/>
              <w:rPr>
                <w:color w:val="000000"/>
                <w:kern w:val="0"/>
                <w:sz w:val="22"/>
                <w:szCs w:val="22"/>
              </w:rPr>
            </w:pPr>
          </w:p>
        </w:tc>
        <w:tc>
          <w:tcPr>
            <w:tcW w:w="0" w:type="auto"/>
            <w:vMerge w:val="restart"/>
            <w:shd w:val="clear" w:color="auto" w:fill="FFFFFF"/>
            <w:vAlign w:val="center"/>
          </w:tcPr>
          <w:p w14:paraId="775C97C2">
            <w:pPr>
              <w:widowControl/>
              <w:spacing w:line="0" w:lineRule="atLeast"/>
              <w:jc w:val="center"/>
              <w:rPr>
                <w:color w:val="000000"/>
                <w:kern w:val="0"/>
                <w:sz w:val="22"/>
                <w:szCs w:val="22"/>
              </w:rPr>
            </w:pPr>
            <w:r>
              <w:rPr>
                <w:color w:val="000000"/>
                <w:kern w:val="0"/>
                <w:sz w:val="22"/>
                <w:szCs w:val="22"/>
              </w:rPr>
              <w:t>资金投入</w:t>
            </w:r>
          </w:p>
          <w:p w14:paraId="39AF394A">
            <w:pPr>
              <w:spacing w:line="0" w:lineRule="atLeast"/>
              <w:jc w:val="center"/>
              <w:rPr>
                <w:color w:val="000000"/>
                <w:kern w:val="0"/>
                <w:sz w:val="22"/>
                <w:szCs w:val="22"/>
              </w:rPr>
            </w:pPr>
            <w:r>
              <w:rPr>
                <w:color w:val="000000"/>
                <w:kern w:val="0"/>
                <w:sz w:val="22"/>
                <w:szCs w:val="22"/>
              </w:rPr>
              <w:t>　</w:t>
            </w:r>
          </w:p>
        </w:tc>
        <w:tc>
          <w:tcPr>
            <w:tcW w:w="0" w:type="auto"/>
            <w:shd w:val="clear" w:color="auto" w:fill="FFFFFF"/>
            <w:vAlign w:val="center"/>
          </w:tcPr>
          <w:p w14:paraId="5A4DD4FD">
            <w:pPr>
              <w:widowControl/>
              <w:spacing w:line="0" w:lineRule="atLeast"/>
              <w:jc w:val="center"/>
              <w:rPr>
                <w:color w:val="000000"/>
                <w:kern w:val="0"/>
                <w:sz w:val="22"/>
                <w:szCs w:val="22"/>
              </w:rPr>
            </w:pPr>
            <w:r>
              <w:rPr>
                <w:color w:val="000000"/>
                <w:kern w:val="0"/>
                <w:sz w:val="22"/>
                <w:szCs w:val="22"/>
              </w:rPr>
              <w:t>预算编制</w:t>
            </w:r>
          </w:p>
          <w:p w14:paraId="309FF9A3">
            <w:pPr>
              <w:widowControl/>
              <w:spacing w:line="0" w:lineRule="atLeast"/>
              <w:jc w:val="center"/>
              <w:rPr>
                <w:color w:val="000000"/>
                <w:kern w:val="0"/>
                <w:sz w:val="22"/>
                <w:szCs w:val="22"/>
              </w:rPr>
            </w:pPr>
            <w:r>
              <w:rPr>
                <w:color w:val="000000"/>
                <w:kern w:val="0"/>
                <w:sz w:val="22"/>
                <w:szCs w:val="22"/>
              </w:rPr>
              <w:t>科学性</w:t>
            </w:r>
          </w:p>
        </w:tc>
        <w:tc>
          <w:tcPr>
            <w:tcW w:w="0" w:type="auto"/>
            <w:shd w:val="clear" w:color="auto" w:fill="FFFFFF"/>
            <w:vAlign w:val="center"/>
          </w:tcPr>
          <w:p w14:paraId="136A082A">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0" w:type="auto"/>
            <w:shd w:val="clear" w:color="auto" w:fill="FFFFFF"/>
            <w:vAlign w:val="center"/>
          </w:tcPr>
          <w:p w14:paraId="0D1724D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0" w:type="auto"/>
            <w:shd w:val="clear" w:color="auto" w:fill="FFFFFF"/>
            <w:vAlign w:val="center"/>
          </w:tcPr>
          <w:p w14:paraId="1F0CCDE5">
            <w:pPr>
              <w:widowControl/>
              <w:spacing w:line="0" w:lineRule="atLeast"/>
              <w:jc w:val="center"/>
              <w:rPr>
                <w:b/>
                <w:bCs/>
                <w:color w:val="000000"/>
                <w:kern w:val="0"/>
                <w:sz w:val="22"/>
                <w:szCs w:val="22"/>
              </w:rPr>
            </w:pPr>
            <w:r>
              <w:rPr>
                <w:rFonts w:hint="eastAsia"/>
                <w:b/>
                <w:bCs/>
                <w:color w:val="000000"/>
                <w:kern w:val="0"/>
                <w:sz w:val="22"/>
                <w:szCs w:val="22"/>
              </w:rPr>
              <w:t>4</w:t>
            </w:r>
          </w:p>
        </w:tc>
        <w:tc>
          <w:tcPr>
            <w:tcW w:w="0" w:type="auto"/>
            <w:shd w:val="clear" w:color="auto" w:fill="FFFFFF"/>
            <w:vAlign w:val="center"/>
          </w:tcPr>
          <w:p w14:paraId="3479051B">
            <w:pPr>
              <w:widowControl/>
              <w:spacing w:line="0" w:lineRule="atLeast"/>
              <w:jc w:val="center"/>
              <w:rPr>
                <w:b/>
                <w:bCs/>
                <w:color w:val="000000"/>
                <w:kern w:val="0"/>
                <w:sz w:val="22"/>
                <w:szCs w:val="22"/>
              </w:rPr>
            </w:pPr>
            <w:r>
              <w:rPr>
                <w:rFonts w:hint="eastAsia"/>
                <w:b/>
                <w:bCs/>
                <w:color w:val="000000"/>
                <w:kern w:val="0"/>
                <w:sz w:val="22"/>
                <w:szCs w:val="22"/>
              </w:rPr>
              <w:t>4</w:t>
            </w:r>
          </w:p>
        </w:tc>
      </w:tr>
      <w:tr w14:paraId="079EB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0" w:type="auto"/>
            <w:vMerge w:val="continue"/>
            <w:shd w:val="clear" w:color="auto" w:fill="FFFFFF"/>
            <w:vAlign w:val="center"/>
          </w:tcPr>
          <w:p w14:paraId="6FB95FA6">
            <w:pPr>
              <w:widowControl/>
              <w:spacing w:line="0" w:lineRule="atLeast"/>
              <w:jc w:val="center"/>
              <w:rPr>
                <w:color w:val="000000"/>
                <w:kern w:val="0"/>
                <w:sz w:val="22"/>
                <w:szCs w:val="22"/>
              </w:rPr>
            </w:pPr>
          </w:p>
        </w:tc>
        <w:tc>
          <w:tcPr>
            <w:tcW w:w="0" w:type="auto"/>
            <w:vMerge w:val="continue"/>
            <w:shd w:val="clear" w:color="auto" w:fill="FFFFFF"/>
            <w:vAlign w:val="center"/>
          </w:tcPr>
          <w:p w14:paraId="45F5C2B4">
            <w:pPr>
              <w:widowControl/>
              <w:spacing w:line="0" w:lineRule="atLeast"/>
              <w:jc w:val="center"/>
              <w:rPr>
                <w:color w:val="000000"/>
                <w:kern w:val="0"/>
                <w:sz w:val="22"/>
                <w:szCs w:val="22"/>
              </w:rPr>
            </w:pPr>
          </w:p>
        </w:tc>
        <w:tc>
          <w:tcPr>
            <w:tcW w:w="0" w:type="auto"/>
            <w:shd w:val="clear" w:color="auto" w:fill="FFFFFF"/>
            <w:vAlign w:val="center"/>
          </w:tcPr>
          <w:p w14:paraId="61D31DC9">
            <w:pPr>
              <w:widowControl/>
              <w:spacing w:line="0" w:lineRule="atLeast"/>
              <w:jc w:val="center"/>
              <w:rPr>
                <w:color w:val="000000"/>
                <w:kern w:val="0"/>
                <w:sz w:val="22"/>
                <w:szCs w:val="22"/>
              </w:rPr>
            </w:pPr>
            <w:r>
              <w:rPr>
                <w:color w:val="000000"/>
                <w:kern w:val="0"/>
                <w:sz w:val="22"/>
                <w:szCs w:val="22"/>
              </w:rPr>
              <w:t>资金分配</w:t>
            </w:r>
          </w:p>
          <w:p w14:paraId="793E6D62">
            <w:pPr>
              <w:widowControl/>
              <w:spacing w:line="0" w:lineRule="atLeast"/>
              <w:jc w:val="center"/>
              <w:rPr>
                <w:color w:val="000000"/>
                <w:kern w:val="0"/>
                <w:sz w:val="22"/>
                <w:szCs w:val="22"/>
              </w:rPr>
            </w:pPr>
            <w:r>
              <w:rPr>
                <w:color w:val="000000"/>
                <w:kern w:val="0"/>
                <w:sz w:val="22"/>
                <w:szCs w:val="22"/>
              </w:rPr>
              <w:t>合理性</w:t>
            </w:r>
          </w:p>
        </w:tc>
        <w:tc>
          <w:tcPr>
            <w:tcW w:w="0" w:type="auto"/>
            <w:shd w:val="clear" w:color="auto" w:fill="FFFFFF"/>
            <w:vAlign w:val="center"/>
          </w:tcPr>
          <w:p w14:paraId="214A7CD4">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0" w:type="auto"/>
            <w:shd w:val="clear" w:color="auto" w:fill="FFFFFF"/>
            <w:vAlign w:val="center"/>
          </w:tcPr>
          <w:p w14:paraId="621FC4CE">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0" w:type="auto"/>
            <w:shd w:val="clear" w:color="auto" w:fill="FFFFFF"/>
            <w:vAlign w:val="center"/>
          </w:tcPr>
          <w:p w14:paraId="51F7B34E">
            <w:pPr>
              <w:widowControl/>
              <w:spacing w:line="0" w:lineRule="atLeast"/>
              <w:jc w:val="center"/>
              <w:rPr>
                <w:b/>
                <w:bCs/>
                <w:color w:val="000000"/>
                <w:kern w:val="0"/>
                <w:sz w:val="22"/>
                <w:szCs w:val="22"/>
              </w:rPr>
            </w:pPr>
            <w:r>
              <w:rPr>
                <w:rFonts w:hint="eastAsia"/>
                <w:b/>
                <w:bCs/>
                <w:color w:val="000000"/>
                <w:kern w:val="0"/>
                <w:sz w:val="22"/>
                <w:szCs w:val="22"/>
              </w:rPr>
              <w:t>3</w:t>
            </w:r>
          </w:p>
        </w:tc>
        <w:tc>
          <w:tcPr>
            <w:tcW w:w="0" w:type="auto"/>
            <w:shd w:val="clear" w:color="auto" w:fill="FFFFFF"/>
            <w:vAlign w:val="center"/>
          </w:tcPr>
          <w:p w14:paraId="17962EEF">
            <w:pPr>
              <w:widowControl/>
              <w:spacing w:line="0" w:lineRule="atLeast"/>
              <w:jc w:val="center"/>
              <w:rPr>
                <w:b/>
                <w:bCs/>
                <w:color w:val="000000"/>
                <w:kern w:val="0"/>
                <w:sz w:val="22"/>
                <w:szCs w:val="22"/>
              </w:rPr>
            </w:pPr>
            <w:r>
              <w:rPr>
                <w:rFonts w:hint="eastAsia"/>
                <w:b/>
                <w:bCs/>
                <w:color w:val="000000"/>
                <w:kern w:val="0"/>
                <w:sz w:val="22"/>
                <w:szCs w:val="22"/>
              </w:rPr>
              <w:t>3</w:t>
            </w:r>
          </w:p>
        </w:tc>
      </w:tr>
      <w:tr w14:paraId="68102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0" w:type="auto"/>
            <w:vMerge w:val="restart"/>
            <w:shd w:val="clear" w:color="auto" w:fill="FFFFFF"/>
            <w:vAlign w:val="center"/>
          </w:tcPr>
          <w:p w14:paraId="1F31DD6E">
            <w:pPr>
              <w:spacing w:line="0" w:lineRule="atLeast"/>
              <w:jc w:val="center"/>
              <w:rPr>
                <w:color w:val="000000"/>
                <w:kern w:val="0"/>
                <w:sz w:val="22"/>
                <w:szCs w:val="22"/>
              </w:rPr>
            </w:pPr>
            <w:r>
              <w:rPr>
                <w:color w:val="000000"/>
                <w:kern w:val="0"/>
                <w:sz w:val="22"/>
                <w:szCs w:val="22"/>
              </w:rPr>
              <w:t>过程</w:t>
            </w:r>
          </w:p>
        </w:tc>
        <w:tc>
          <w:tcPr>
            <w:tcW w:w="0" w:type="auto"/>
            <w:vMerge w:val="restart"/>
            <w:shd w:val="clear" w:color="auto" w:fill="FFFFFF"/>
            <w:vAlign w:val="center"/>
          </w:tcPr>
          <w:p w14:paraId="1B2E0A4A">
            <w:pPr>
              <w:widowControl/>
              <w:spacing w:line="0" w:lineRule="atLeast"/>
              <w:jc w:val="center"/>
              <w:rPr>
                <w:color w:val="000000"/>
                <w:kern w:val="0"/>
                <w:sz w:val="22"/>
                <w:szCs w:val="22"/>
              </w:rPr>
            </w:pPr>
            <w:r>
              <w:rPr>
                <w:color w:val="000000"/>
                <w:kern w:val="0"/>
                <w:sz w:val="22"/>
                <w:szCs w:val="22"/>
              </w:rPr>
              <w:t>资金管理</w:t>
            </w:r>
          </w:p>
        </w:tc>
        <w:tc>
          <w:tcPr>
            <w:tcW w:w="0" w:type="auto"/>
            <w:shd w:val="clear" w:color="auto" w:fill="FFFFFF"/>
            <w:vAlign w:val="center"/>
          </w:tcPr>
          <w:p w14:paraId="50EA79D6">
            <w:pPr>
              <w:widowControl/>
              <w:spacing w:line="0" w:lineRule="atLeast"/>
              <w:jc w:val="center"/>
              <w:rPr>
                <w:color w:val="000000"/>
                <w:kern w:val="0"/>
                <w:sz w:val="22"/>
                <w:szCs w:val="22"/>
              </w:rPr>
            </w:pPr>
            <w:r>
              <w:rPr>
                <w:color w:val="000000"/>
                <w:kern w:val="0"/>
                <w:sz w:val="22"/>
                <w:szCs w:val="22"/>
              </w:rPr>
              <w:t>资金到位率</w:t>
            </w:r>
          </w:p>
        </w:tc>
        <w:tc>
          <w:tcPr>
            <w:tcW w:w="0" w:type="auto"/>
            <w:shd w:val="clear" w:color="000000" w:fill="FFFFFF"/>
            <w:vAlign w:val="center"/>
          </w:tcPr>
          <w:p w14:paraId="48DF4D64">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0" w:type="auto"/>
            <w:shd w:val="clear" w:color="000000" w:fill="FFFFFF"/>
            <w:vAlign w:val="center"/>
          </w:tcPr>
          <w:p w14:paraId="435D1D3A">
            <w:pPr>
              <w:widowControl/>
              <w:spacing w:line="0" w:lineRule="atLeast"/>
              <w:rPr>
                <w:color w:val="000000"/>
                <w:kern w:val="0"/>
                <w:sz w:val="22"/>
                <w:szCs w:val="22"/>
              </w:rPr>
            </w:pPr>
            <w:r>
              <w:rPr>
                <w:color w:val="000000"/>
                <w:kern w:val="0"/>
                <w:sz w:val="22"/>
                <w:szCs w:val="22"/>
              </w:rPr>
              <w:t>资金到位率=（实际到位资金/预算资金）×100%。</w:t>
            </w:r>
          </w:p>
          <w:p w14:paraId="6A71D750">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14:paraId="0276E750">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0" w:type="auto"/>
            <w:shd w:val="clear" w:color="000000" w:fill="FFFFFF"/>
            <w:vAlign w:val="center"/>
          </w:tcPr>
          <w:p w14:paraId="6A297C6B">
            <w:pPr>
              <w:widowControl/>
              <w:spacing w:line="0" w:lineRule="atLeast"/>
              <w:jc w:val="center"/>
              <w:rPr>
                <w:b/>
                <w:bCs/>
                <w:color w:val="000000"/>
                <w:kern w:val="0"/>
                <w:sz w:val="22"/>
                <w:szCs w:val="22"/>
              </w:rPr>
            </w:pPr>
            <w:r>
              <w:rPr>
                <w:rFonts w:hint="eastAsia"/>
                <w:b/>
                <w:bCs/>
                <w:color w:val="000000"/>
                <w:kern w:val="0"/>
                <w:sz w:val="22"/>
                <w:szCs w:val="22"/>
              </w:rPr>
              <w:t>4</w:t>
            </w:r>
          </w:p>
        </w:tc>
        <w:tc>
          <w:tcPr>
            <w:tcW w:w="0" w:type="auto"/>
            <w:shd w:val="clear" w:color="000000" w:fill="FFFFFF"/>
            <w:vAlign w:val="center"/>
          </w:tcPr>
          <w:p w14:paraId="03DD5674">
            <w:pPr>
              <w:widowControl/>
              <w:spacing w:line="0" w:lineRule="atLeast"/>
              <w:jc w:val="center"/>
              <w:rPr>
                <w:b/>
                <w:bCs/>
                <w:color w:val="000000"/>
                <w:kern w:val="0"/>
                <w:sz w:val="22"/>
                <w:szCs w:val="22"/>
              </w:rPr>
            </w:pPr>
            <w:r>
              <w:rPr>
                <w:rFonts w:hint="eastAsia"/>
                <w:b/>
                <w:bCs/>
                <w:color w:val="000000"/>
                <w:kern w:val="0"/>
                <w:sz w:val="22"/>
                <w:szCs w:val="22"/>
              </w:rPr>
              <w:t>4</w:t>
            </w:r>
          </w:p>
        </w:tc>
      </w:tr>
      <w:tr w14:paraId="30E3C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0" w:type="auto"/>
            <w:vMerge w:val="continue"/>
            <w:shd w:val="clear" w:color="auto" w:fill="FFFFFF"/>
            <w:vAlign w:val="center"/>
          </w:tcPr>
          <w:p w14:paraId="75C6C774">
            <w:pPr>
              <w:spacing w:line="0" w:lineRule="atLeast"/>
              <w:jc w:val="center"/>
              <w:rPr>
                <w:color w:val="000000"/>
                <w:kern w:val="0"/>
                <w:sz w:val="22"/>
                <w:szCs w:val="22"/>
              </w:rPr>
            </w:pPr>
          </w:p>
        </w:tc>
        <w:tc>
          <w:tcPr>
            <w:tcW w:w="0" w:type="auto"/>
            <w:vMerge w:val="continue"/>
            <w:shd w:val="clear" w:color="auto" w:fill="FFFFFF"/>
            <w:vAlign w:val="center"/>
          </w:tcPr>
          <w:p w14:paraId="0EB3627B">
            <w:pPr>
              <w:spacing w:line="0" w:lineRule="atLeast"/>
              <w:jc w:val="center"/>
              <w:rPr>
                <w:color w:val="000000"/>
                <w:kern w:val="0"/>
                <w:sz w:val="22"/>
                <w:szCs w:val="22"/>
              </w:rPr>
            </w:pPr>
          </w:p>
        </w:tc>
        <w:tc>
          <w:tcPr>
            <w:tcW w:w="0" w:type="auto"/>
            <w:shd w:val="clear" w:color="auto" w:fill="FFFFFF"/>
            <w:vAlign w:val="center"/>
          </w:tcPr>
          <w:p w14:paraId="1AAC11F7">
            <w:pPr>
              <w:widowControl/>
              <w:spacing w:line="0" w:lineRule="atLeast"/>
              <w:jc w:val="center"/>
              <w:rPr>
                <w:color w:val="000000"/>
                <w:kern w:val="0"/>
                <w:sz w:val="22"/>
                <w:szCs w:val="22"/>
              </w:rPr>
            </w:pPr>
            <w:r>
              <w:rPr>
                <w:color w:val="000000"/>
                <w:kern w:val="0"/>
                <w:sz w:val="22"/>
                <w:szCs w:val="22"/>
              </w:rPr>
              <w:t>预算执行率</w:t>
            </w:r>
          </w:p>
        </w:tc>
        <w:tc>
          <w:tcPr>
            <w:tcW w:w="0" w:type="auto"/>
            <w:shd w:val="clear" w:color="auto" w:fill="FFFFFF"/>
            <w:vAlign w:val="center"/>
          </w:tcPr>
          <w:p w14:paraId="66016FAB">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0" w:type="auto"/>
            <w:shd w:val="clear" w:color="auto" w:fill="FFFFFF"/>
            <w:vAlign w:val="center"/>
          </w:tcPr>
          <w:p w14:paraId="11F61FE4">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0" w:type="auto"/>
            <w:shd w:val="clear" w:color="auto" w:fill="FFFFFF"/>
            <w:vAlign w:val="center"/>
          </w:tcPr>
          <w:p w14:paraId="55B3AB6D">
            <w:pPr>
              <w:widowControl/>
              <w:spacing w:line="0" w:lineRule="atLeast"/>
              <w:jc w:val="center"/>
              <w:rPr>
                <w:b/>
                <w:bCs/>
                <w:color w:val="000000"/>
                <w:kern w:val="0"/>
                <w:sz w:val="22"/>
                <w:szCs w:val="22"/>
              </w:rPr>
            </w:pPr>
            <w:r>
              <w:rPr>
                <w:rFonts w:hint="eastAsia"/>
                <w:b/>
                <w:bCs/>
                <w:color w:val="000000"/>
                <w:kern w:val="0"/>
                <w:sz w:val="22"/>
                <w:szCs w:val="22"/>
              </w:rPr>
              <w:t>4</w:t>
            </w:r>
          </w:p>
        </w:tc>
        <w:tc>
          <w:tcPr>
            <w:tcW w:w="0" w:type="auto"/>
            <w:shd w:val="clear" w:color="auto" w:fill="FFFFFF"/>
            <w:vAlign w:val="center"/>
          </w:tcPr>
          <w:p w14:paraId="5698FAB3">
            <w:pPr>
              <w:widowControl/>
              <w:spacing w:line="0" w:lineRule="atLeast"/>
              <w:jc w:val="center"/>
              <w:rPr>
                <w:b/>
                <w:bCs/>
                <w:color w:val="000000"/>
                <w:kern w:val="0"/>
                <w:sz w:val="22"/>
                <w:szCs w:val="22"/>
              </w:rPr>
            </w:pPr>
            <w:r>
              <w:rPr>
                <w:rFonts w:hint="eastAsia"/>
                <w:b/>
                <w:bCs/>
                <w:color w:val="000000"/>
                <w:kern w:val="0"/>
                <w:sz w:val="22"/>
                <w:szCs w:val="22"/>
              </w:rPr>
              <w:t>3</w:t>
            </w:r>
          </w:p>
        </w:tc>
      </w:tr>
      <w:tr w14:paraId="6FEB5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0" w:type="auto"/>
            <w:vMerge w:val="restart"/>
            <w:shd w:val="clear" w:color="auto" w:fill="FFFFFF"/>
            <w:vAlign w:val="center"/>
          </w:tcPr>
          <w:p w14:paraId="14CAFDE7">
            <w:pPr>
              <w:widowControl/>
              <w:spacing w:line="0" w:lineRule="atLeast"/>
              <w:jc w:val="center"/>
              <w:rPr>
                <w:color w:val="000000"/>
                <w:kern w:val="0"/>
                <w:sz w:val="22"/>
                <w:szCs w:val="22"/>
              </w:rPr>
            </w:pPr>
            <w:r>
              <w:rPr>
                <w:color w:val="000000"/>
                <w:kern w:val="0"/>
                <w:sz w:val="22"/>
                <w:szCs w:val="22"/>
              </w:rPr>
              <w:t>　</w:t>
            </w:r>
          </w:p>
          <w:p w14:paraId="15A4A812">
            <w:pPr>
              <w:spacing w:line="0" w:lineRule="atLeast"/>
              <w:jc w:val="center"/>
              <w:rPr>
                <w:color w:val="000000"/>
                <w:kern w:val="0"/>
                <w:sz w:val="22"/>
                <w:szCs w:val="22"/>
              </w:rPr>
            </w:pPr>
            <w:r>
              <w:rPr>
                <w:color w:val="000000"/>
                <w:kern w:val="0"/>
                <w:sz w:val="22"/>
                <w:szCs w:val="22"/>
              </w:rPr>
              <w:t>过程　</w:t>
            </w:r>
          </w:p>
        </w:tc>
        <w:tc>
          <w:tcPr>
            <w:tcW w:w="0" w:type="auto"/>
            <w:shd w:val="clear" w:color="auto" w:fill="FFFFFF"/>
            <w:vAlign w:val="center"/>
          </w:tcPr>
          <w:p w14:paraId="70D63E9A">
            <w:pPr>
              <w:widowControl/>
              <w:spacing w:line="0" w:lineRule="atLeast"/>
              <w:jc w:val="center"/>
              <w:rPr>
                <w:color w:val="000000"/>
                <w:kern w:val="0"/>
                <w:sz w:val="22"/>
                <w:szCs w:val="22"/>
              </w:rPr>
            </w:pPr>
            <w:r>
              <w:rPr>
                <w:color w:val="000000"/>
                <w:kern w:val="0"/>
                <w:sz w:val="22"/>
                <w:szCs w:val="22"/>
              </w:rPr>
              <w:t>资金管理</w:t>
            </w:r>
          </w:p>
        </w:tc>
        <w:tc>
          <w:tcPr>
            <w:tcW w:w="0" w:type="auto"/>
            <w:shd w:val="clear" w:color="auto" w:fill="FFFFFF"/>
            <w:vAlign w:val="center"/>
          </w:tcPr>
          <w:p w14:paraId="75366F9B">
            <w:pPr>
              <w:widowControl/>
              <w:spacing w:line="0" w:lineRule="atLeast"/>
              <w:jc w:val="center"/>
              <w:rPr>
                <w:color w:val="000000"/>
                <w:kern w:val="0"/>
                <w:sz w:val="22"/>
                <w:szCs w:val="22"/>
              </w:rPr>
            </w:pPr>
            <w:r>
              <w:rPr>
                <w:color w:val="000000"/>
                <w:kern w:val="0"/>
                <w:sz w:val="22"/>
                <w:szCs w:val="22"/>
              </w:rPr>
              <w:t>资金使用</w:t>
            </w:r>
          </w:p>
          <w:p w14:paraId="3E626577">
            <w:pPr>
              <w:widowControl/>
              <w:spacing w:line="0" w:lineRule="atLeast"/>
              <w:jc w:val="center"/>
              <w:rPr>
                <w:color w:val="000000"/>
                <w:kern w:val="0"/>
                <w:sz w:val="22"/>
                <w:szCs w:val="22"/>
              </w:rPr>
            </w:pPr>
            <w:r>
              <w:rPr>
                <w:color w:val="000000"/>
                <w:kern w:val="0"/>
                <w:sz w:val="22"/>
                <w:szCs w:val="22"/>
              </w:rPr>
              <w:t>合规性</w:t>
            </w:r>
          </w:p>
        </w:tc>
        <w:tc>
          <w:tcPr>
            <w:tcW w:w="0" w:type="auto"/>
            <w:shd w:val="clear" w:color="000000" w:fill="FFFFFF"/>
            <w:vAlign w:val="center"/>
          </w:tcPr>
          <w:p w14:paraId="0DC90201">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0" w:type="auto"/>
            <w:shd w:val="clear" w:color="000000" w:fill="FFFFFF"/>
            <w:vAlign w:val="center"/>
          </w:tcPr>
          <w:p w14:paraId="0511B6DF">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0" w:type="auto"/>
            <w:shd w:val="clear" w:color="000000" w:fill="FFFFFF"/>
            <w:vAlign w:val="center"/>
          </w:tcPr>
          <w:p w14:paraId="010072DE">
            <w:pPr>
              <w:widowControl/>
              <w:spacing w:line="0" w:lineRule="atLeast"/>
              <w:jc w:val="center"/>
              <w:rPr>
                <w:b/>
                <w:bCs/>
                <w:color w:val="000000"/>
                <w:kern w:val="0"/>
                <w:sz w:val="22"/>
                <w:szCs w:val="22"/>
              </w:rPr>
            </w:pPr>
            <w:r>
              <w:rPr>
                <w:rFonts w:hint="eastAsia"/>
                <w:b/>
                <w:bCs/>
                <w:color w:val="000000"/>
                <w:kern w:val="0"/>
                <w:sz w:val="22"/>
                <w:szCs w:val="22"/>
              </w:rPr>
              <w:t>4</w:t>
            </w:r>
          </w:p>
        </w:tc>
        <w:tc>
          <w:tcPr>
            <w:tcW w:w="0" w:type="auto"/>
            <w:shd w:val="clear" w:color="000000" w:fill="FFFFFF"/>
            <w:vAlign w:val="center"/>
          </w:tcPr>
          <w:p w14:paraId="71850A2C">
            <w:pPr>
              <w:widowControl/>
              <w:spacing w:line="0" w:lineRule="atLeast"/>
              <w:jc w:val="center"/>
              <w:rPr>
                <w:b/>
                <w:bCs/>
                <w:color w:val="000000"/>
                <w:kern w:val="0"/>
                <w:sz w:val="22"/>
                <w:szCs w:val="22"/>
              </w:rPr>
            </w:pPr>
            <w:r>
              <w:rPr>
                <w:rFonts w:hint="eastAsia"/>
                <w:b/>
                <w:bCs/>
                <w:color w:val="000000"/>
                <w:kern w:val="0"/>
                <w:sz w:val="22"/>
                <w:szCs w:val="22"/>
              </w:rPr>
              <w:t>4</w:t>
            </w:r>
          </w:p>
        </w:tc>
      </w:tr>
      <w:tr w14:paraId="368DB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0" w:type="auto"/>
            <w:vMerge w:val="continue"/>
            <w:shd w:val="clear" w:color="auto" w:fill="FFFFFF"/>
            <w:vAlign w:val="center"/>
          </w:tcPr>
          <w:p w14:paraId="5CDF9E8B">
            <w:pPr>
              <w:spacing w:line="0" w:lineRule="atLeast"/>
              <w:jc w:val="center"/>
              <w:rPr>
                <w:color w:val="000000"/>
                <w:kern w:val="0"/>
                <w:sz w:val="22"/>
                <w:szCs w:val="22"/>
              </w:rPr>
            </w:pPr>
          </w:p>
        </w:tc>
        <w:tc>
          <w:tcPr>
            <w:tcW w:w="0" w:type="auto"/>
            <w:vMerge w:val="restart"/>
            <w:shd w:val="clear" w:color="auto" w:fill="FFFFFF"/>
            <w:vAlign w:val="center"/>
          </w:tcPr>
          <w:p w14:paraId="5EF3EF02">
            <w:pPr>
              <w:widowControl/>
              <w:spacing w:line="0" w:lineRule="atLeast"/>
              <w:jc w:val="center"/>
              <w:rPr>
                <w:color w:val="000000"/>
                <w:kern w:val="0"/>
                <w:sz w:val="22"/>
                <w:szCs w:val="22"/>
              </w:rPr>
            </w:pPr>
            <w:r>
              <w:rPr>
                <w:color w:val="000000"/>
                <w:kern w:val="0"/>
                <w:sz w:val="22"/>
                <w:szCs w:val="22"/>
              </w:rPr>
              <w:t>组织实施</w:t>
            </w:r>
          </w:p>
          <w:p w14:paraId="584CFA8A">
            <w:pPr>
              <w:spacing w:line="0" w:lineRule="atLeast"/>
              <w:jc w:val="center"/>
              <w:rPr>
                <w:color w:val="000000"/>
                <w:kern w:val="0"/>
                <w:sz w:val="22"/>
                <w:szCs w:val="22"/>
              </w:rPr>
            </w:pPr>
            <w:r>
              <w:rPr>
                <w:color w:val="000000"/>
                <w:kern w:val="0"/>
                <w:sz w:val="22"/>
                <w:szCs w:val="22"/>
              </w:rPr>
              <w:t>　</w:t>
            </w:r>
          </w:p>
        </w:tc>
        <w:tc>
          <w:tcPr>
            <w:tcW w:w="0" w:type="auto"/>
            <w:shd w:val="clear" w:color="auto" w:fill="FFFFFF"/>
            <w:vAlign w:val="center"/>
          </w:tcPr>
          <w:p w14:paraId="74029812">
            <w:pPr>
              <w:widowControl/>
              <w:spacing w:line="0" w:lineRule="atLeast"/>
              <w:jc w:val="center"/>
              <w:rPr>
                <w:color w:val="000000"/>
                <w:kern w:val="0"/>
                <w:sz w:val="22"/>
                <w:szCs w:val="22"/>
              </w:rPr>
            </w:pPr>
            <w:r>
              <w:rPr>
                <w:color w:val="000000"/>
                <w:kern w:val="0"/>
                <w:sz w:val="22"/>
                <w:szCs w:val="22"/>
              </w:rPr>
              <w:t>管理制度</w:t>
            </w:r>
          </w:p>
          <w:p w14:paraId="4A3F9517">
            <w:pPr>
              <w:widowControl/>
              <w:spacing w:line="0" w:lineRule="atLeast"/>
              <w:jc w:val="center"/>
              <w:rPr>
                <w:color w:val="000000"/>
                <w:kern w:val="0"/>
                <w:sz w:val="22"/>
                <w:szCs w:val="22"/>
              </w:rPr>
            </w:pPr>
            <w:r>
              <w:rPr>
                <w:color w:val="000000"/>
                <w:kern w:val="0"/>
                <w:sz w:val="22"/>
                <w:szCs w:val="22"/>
              </w:rPr>
              <w:t>健全性</w:t>
            </w:r>
          </w:p>
        </w:tc>
        <w:tc>
          <w:tcPr>
            <w:tcW w:w="0" w:type="auto"/>
            <w:shd w:val="clear" w:color="000000" w:fill="FFFFFF"/>
            <w:vAlign w:val="center"/>
          </w:tcPr>
          <w:p w14:paraId="53BDF724">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0" w:type="auto"/>
            <w:shd w:val="clear" w:color="000000" w:fill="FFFFFF"/>
            <w:vAlign w:val="center"/>
          </w:tcPr>
          <w:p w14:paraId="3D0E3CC0">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0" w:type="auto"/>
            <w:shd w:val="clear" w:color="000000" w:fill="FFFFFF"/>
            <w:vAlign w:val="center"/>
          </w:tcPr>
          <w:p w14:paraId="69022595">
            <w:pPr>
              <w:widowControl/>
              <w:spacing w:line="0" w:lineRule="atLeast"/>
              <w:jc w:val="center"/>
              <w:rPr>
                <w:b/>
                <w:bCs/>
                <w:color w:val="000000"/>
                <w:kern w:val="0"/>
                <w:sz w:val="22"/>
                <w:szCs w:val="22"/>
              </w:rPr>
            </w:pPr>
            <w:r>
              <w:rPr>
                <w:rFonts w:hint="eastAsia"/>
                <w:b/>
                <w:bCs/>
                <w:color w:val="000000"/>
                <w:kern w:val="0"/>
                <w:sz w:val="22"/>
                <w:szCs w:val="22"/>
              </w:rPr>
              <w:t>4</w:t>
            </w:r>
          </w:p>
        </w:tc>
        <w:tc>
          <w:tcPr>
            <w:tcW w:w="0" w:type="auto"/>
            <w:shd w:val="clear" w:color="000000" w:fill="FFFFFF"/>
            <w:vAlign w:val="center"/>
          </w:tcPr>
          <w:p w14:paraId="5379B23F">
            <w:pPr>
              <w:widowControl/>
              <w:spacing w:line="0" w:lineRule="atLeast"/>
              <w:jc w:val="center"/>
              <w:rPr>
                <w:b/>
                <w:bCs/>
                <w:color w:val="000000"/>
                <w:kern w:val="0"/>
                <w:sz w:val="22"/>
                <w:szCs w:val="22"/>
              </w:rPr>
            </w:pPr>
            <w:r>
              <w:rPr>
                <w:rFonts w:hint="eastAsia"/>
                <w:b/>
                <w:bCs/>
                <w:color w:val="000000"/>
                <w:kern w:val="0"/>
                <w:sz w:val="22"/>
                <w:szCs w:val="22"/>
              </w:rPr>
              <w:t>4</w:t>
            </w:r>
          </w:p>
        </w:tc>
      </w:tr>
      <w:tr w14:paraId="7D32F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0" w:type="auto"/>
            <w:vMerge w:val="continue"/>
            <w:shd w:val="clear" w:color="auto" w:fill="FFFFFF"/>
            <w:vAlign w:val="center"/>
          </w:tcPr>
          <w:p w14:paraId="47895B88">
            <w:pPr>
              <w:widowControl/>
              <w:spacing w:line="0" w:lineRule="atLeast"/>
              <w:jc w:val="center"/>
              <w:rPr>
                <w:color w:val="000000"/>
                <w:kern w:val="0"/>
                <w:sz w:val="22"/>
                <w:szCs w:val="22"/>
              </w:rPr>
            </w:pPr>
          </w:p>
        </w:tc>
        <w:tc>
          <w:tcPr>
            <w:tcW w:w="0" w:type="auto"/>
            <w:vMerge w:val="continue"/>
            <w:shd w:val="clear" w:color="auto" w:fill="FFFFFF"/>
            <w:vAlign w:val="center"/>
          </w:tcPr>
          <w:p w14:paraId="633D9E45">
            <w:pPr>
              <w:widowControl/>
              <w:spacing w:line="0" w:lineRule="atLeast"/>
              <w:jc w:val="center"/>
              <w:rPr>
                <w:color w:val="000000"/>
                <w:kern w:val="0"/>
                <w:sz w:val="22"/>
                <w:szCs w:val="22"/>
              </w:rPr>
            </w:pPr>
          </w:p>
        </w:tc>
        <w:tc>
          <w:tcPr>
            <w:tcW w:w="0" w:type="auto"/>
            <w:shd w:val="clear" w:color="auto" w:fill="FFFFFF"/>
            <w:vAlign w:val="center"/>
          </w:tcPr>
          <w:p w14:paraId="6DB52025">
            <w:pPr>
              <w:widowControl/>
              <w:spacing w:line="0" w:lineRule="atLeast"/>
              <w:jc w:val="center"/>
              <w:rPr>
                <w:color w:val="000000"/>
                <w:kern w:val="0"/>
                <w:sz w:val="22"/>
                <w:szCs w:val="22"/>
              </w:rPr>
            </w:pPr>
            <w:r>
              <w:rPr>
                <w:color w:val="000000"/>
                <w:kern w:val="0"/>
                <w:sz w:val="22"/>
                <w:szCs w:val="22"/>
              </w:rPr>
              <w:t>制度执行</w:t>
            </w:r>
          </w:p>
          <w:p w14:paraId="37EDDF85">
            <w:pPr>
              <w:widowControl/>
              <w:spacing w:line="0" w:lineRule="atLeast"/>
              <w:jc w:val="center"/>
              <w:rPr>
                <w:color w:val="000000"/>
                <w:kern w:val="0"/>
                <w:sz w:val="22"/>
                <w:szCs w:val="22"/>
              </w:rPr>
            </w:pPr>
            <w:r>
              <w:rPr>
                <w:color w:val="000000"/>
                <w:kern w:val="0"/>
                <w:sz w:val="22"/>
                <w:szCs w:val="22"/>
              </w:rPr>
              <w:t>有效性</w:t>
            </w:r>
          </w:p>
        </w:tc>
        <w:tc>
          <w:tcPr>
            <w:tcW w:w="0" w:type="auto"/>
            <w:shd w:val="clear" w:color="000000" w:fill="FFFFFF"/>
            <w:vAlign w:val="center"/>
          </w:tcPr>
          <w:p w14:paraId="67544932">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0" w:type="auto"/>
            <w:shd w:val="clear" w:color="000000" w:fill="FFFFFF"/>
            <w:vAlign w:val="center"/>
          </w:tcPr>
          <w:p w14:paraId="00977EAB">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0" w:type="auto"/>
            <w:shd w:val="clear" w:color="000000" w:fill="FFFFFF"/>
            <w:vAlign w:val="center"/>
          </w:tcPr>
          <w:p w14:paraId="3EEBD50A">
            <w:pPr>
              <w:widowControl/>
              <w:spacing w:line="0" w:lineRule="atLeast"/>
              <w:jc w:val="center"/>
              <w:rPr>
                <w:b/>
                <w:bCs/>
                <w:color w:val="000000"/>
                <w:kern w:val="0"/>
                <w:sz w:val="22"/>
                <w:szCs w:val="22"/>
              </w:rPr>
            </w:pPr>
            <w:r>
              <w:rPr>
                <w:rFonts w:hint="eastAsia"/>
                <w:b/>
                <w:bCs/>
                <w:color w:val="000000"/>
                <w:kern w:val="0"/>
                <w:sz w:val="22"/>
                <w:szCs w:val="22"/>
              </w:rPr>
              <w:t>4</w:t>
            </w:r>
          </w:p>
        </w:tc>
        <w:tc>
          <w:tcPr>
            <w:tcW w:w="0" w:type="auto"/>
            <w:shd w:val="clear" w:color="000000" w:fill="FFFFFF"/>
            <w:vAlign w:val="center"/>
          </w:tcPr>
          <w:p w14:paraId="2B7FC928">
            <w:pPr>
              <w:widowControl/>
              <w:spacing w:line="0" w:lineRule="atLeast"/>
              <w:jc w:val="center"/>
              <w:rPr>
                <w:b/>
                <w:bCs/>
                <w:color w:val="000000"/>
                <w:kern w:val="0"/>
                <w:sz w:val="22"/>
                <w:szCs w:val="22"/>
              </w:rPr>
            </w:pPr>
            <w:r>
              <w:rPr>
                <w:rFonts w:hint="eastAsia"/>
                <w:b/>
                <w:bCs/>
                <w:color w:val="000000"/>
                <w:kern w:val="0"/>
                <w:sz w:val="22"/>
                <w:szCs w:val="22"/>
              </w:rPr>
              <w:t>2.8</w:t>
            </w:r>
          </w:p>
        </w:tc>
      </w:tr>
      <w:tr w14:paraId="15DEA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0" w:type="auto"/>
            <w:shd w:val="clear" w:color="auto" w:fill="FFFFFF"/>
            <w:vAlign w:val="center"/>
          </w:tcPr>
          <w:p w14:paraId="351B3F1E">
            <w:pPr>
              <w:widowControl/>
              <w:spacing w:line="0" w:lineRule="atLeast"/>
              <w:jc w:val="center"/>
              <w:rPr>
                <w:color w:val="000000"/>
                <w:kern w:val="0"/>
                <w:sz w:val="22"/>
                <w:szCs w:val="22"/>
              </w:rPr>
            </w:pPr>
            <w:r>
              <w:rPr>
                <w:color w:val="000000"/>
                <w:kern w:val="0"/>
                <w:sz w:val="22"/>
                <w:szCs w:val="22"/>
              </w:rPr>
              <w:t>产出</w:t>
            </w:r>
          </w:p>
        </w:tc>
        <w:tc>
          <w:tcPr>
            <w:tcW w:w="0" w:type="auto"/>
            <w:shd w:val="clear" w:color="auto" w:fill="FFFFFF"/>
            <w:vAlign w:val="center"/>
          </w:tcPr>
          <w:p w14:paraId="68B4202F">
            <w:pPr>
              <w:widowControl/>
              <w:spacing w:line="0" w:lineRule="atLeast"/>
              <w:jc w:val="center"/>
              <w:rPr>
                <w:color w:val="000000"/>
                <w:kern w:val="0"/>
                <w:sz w:val="22"/>
                <w:szCs w:val="22"/>
              </w:rPr>
            </w:pPr>
            <w:r>
              <w:rPr>
                <w:color w:val="000000"/>
                <w:kern w:val="0"/>
                <w:sz w:val="22"/>
                <w:szCs w:val="22"/>
              </w:rPr>
              <w:t>产出数量</w:t>
            </w:r>
          </w:p>
        </w:tc>
        <w:tc>
          <w:tcPr>
            <w:tcW w:w="0" w:type="auto"/>
            <w:shd w:val="clear" w:color="auto" w:fill="FFFFFF"/>
            <w:vAlign w:val="center"/>
          </w:tcPr>
          <w:p w14:paraId="14E5B6F5">
            <w:pPr>
              <w:widowControl/>
              <w:spacing w:line="0" w:lineRule="atLeast"/>
              <w:jc w:val="center"/>
              <w:rPr>
                <w:color w:val="000000"/>
                <w:kern w:val="0"/>
                <w:sz w:val="22"/>
                <w:szCs w:val="22"/>
              </w:rPr>
            </w:pPr>
            <w:r>
              <w:rPr>
                <w:color w:val="000000"/>
                <w:kern w:val="0"/>
                <w:sz w:val="22"/>
                <w:szCs w:val="22"/>
              </w:rPr>
              <w:t>实际完成率</w:t>
            </w:r>
          </w:p>
        </w:tc>
        <w:tc>
          <w:tcPr>
            <w:tcW w:w="0" w:type="auto"/>
            <w:shd w:val="clear" w:color="000000" w:fill="FFFFFF"/>
            <w:vAlign w:val="center"/>
          </w:tcPr>
          <w:p w14:paraId="3D672479">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0" w:type="auto"/>
            <w:shd w:val="clear" w:color="000000" w:fill="FFFFFF"/>
            <w:vAlign w:val="center"/>
          </w:tcPr>
          <w:p w14:paraId="68CDF83F">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0" w:type="auto"/>
            <w:shd w:val="clear" w:color="000000" w:fill="FFFFFF"/>
            <w:vAlign w:val="center"/>
          </w:tcPr>
          <w:p w14:paraId="4D3F2CD7">
            <w:pPr>
              <w:widowControl/>
              <w:spacing w:line="0" w:lineRule="atLeast"/>
              <w:jc w:val="center"/>
              <w:rPr>
                <w:b/>
                <w:bCs/>
                <w:color w:val="000000"/>
                <w:kern w:val="0"/>
                <w:sz w:val="22"/>
                <w:szCs w:val="22"/>
              </w:rPr>
            </w:pPr>
            <w:r>
              <w:rPr>
                <w:b/>
                <w:bCs/>
                <w:color w:val="000000"/>
                <w:kern w:val="0"/>
                <w:sz w:val="22"/>
                <w:szCs w:val="22"/>
              </w:rPr>
              <w:t>1</w:t>
            </w:r>
            <w:r>
              <w:rPr>
                <w:rFonts w:hint="eastAsia"/>
                <w:b/>
                <w:bCs/>
                <w:color w:val="000000"/>
                <w:kern w:val="0"/>
                <w:sz w:val="22"/>
                <w:szCs w:val="22"/>
              </w:rPr>
              <w:t>0</w:t>
            </w:r>
          </w:p>
        </w:tc>
        <w:tc>
          <w:tcPr>
            <w:tcW w:w="0" w:type="auto"/>
            <w:shd w:val="clear" w:color="000000" w:fill="FFFFFF"/>
            <w:vAlign w:val="center"/>
          </w:tcPr>
          <w:p w14:paraId="0A957DD6">
            <w:pPr>
              <w:widowControl/>
              <w:spacing w:line="0" w:lineRule="atLeast"/>
              <w:jc w:val="center"/>
              <w:rPr>
                <w:b/>
                <w:bCs/>
                <w:color w:val="000000"/>
                <w:kern w:val="0"/>
                <w:sz w:val="22"/>
                <w:szCs w:val="22"/>
              </w:rPr>
            </w:pPr>
            <w:r>
              <w:rPr>
                <w:rFonts w:hint="eastAsia"/>
                <w:b/>
                <w:bCs/>
                <w:color w:val="000000"/>
                <w:kern w:val="0"/>
                <w:sz w:val="22"/>
                <w:szCs w:val="22"/>
              </w:rPr>
              <w:t>10</w:t>
            </w:r>
          </w:p>
        </w:tc>
      </w:tr>
      <w:tr w14:paraId="6955D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0" w:type="auto"/>
            <w:vMerge w:val="restart"/>
            <w:shd w:val="clear" w:color="auto" w:fill="FFFFFF"/>
            <w:vAlign w:val="center"/>
          </w:tcPr>
          <w:p w14:paraId="19CE38CE">
            <w:pPr>
              <w:widowControl/>
              <w:spacing w:line="0" w:lineRule="atLeast"/>
              <w:jc w:val="center"/>
              <w:rPr>
                <w:color w:val="000000"/>
                <w:kern w:val="0"/>
                <w:sz w:val="22"/>
                <w:szCs w:val="22"/>
              </w:rPr>
            </w:pPr>
            <w:r>
              <w:rPr>
                <w:color w:val="000000"/>
                <w:kern w:val="0"/>
                <w:sz w:val="22"/>
                <w:szCs w:val="22"/>
              </w:rPr>
              <w:t>产出</w:t>
            </w:r>
          </w:p>
        </w:tc>
        <w:tc>
          <w:tcPr>
            <w:tcW w:w="0" w:type="auto"/>
            <w:shd w:val="clear" w:color="auto" w:fill="FFFFFF"/>
            <w:vAlign w:val="center"/>
          </w:tcPr>
          <w:p w14:paraId="598B4CB5">
            <w:pPr>
              <w:widowControl/>
              <w:spacing w:line="0" w:lineRule="atLeast"/>
              <w:jc w:val="center"/>
              <w:rPr>
                <w:color w:val="000000"/>
                <w:kern w:val="0"/>
                <w:sz w:val="22"/>
                <w:szCs w:val="22"/>
              </w:rPr>
            </w:pPr>
            <w:r>
              <w:rPr>
                <w:color w:val="000000"/>
                <w:kern w:val="0"/>
                <w:sz w:val="22"/>
                <w:szCs w:val="22"/>
              </w:rPr>
              <w:t>产出质量</w:t>
            </w:r>
          </w:p>
        </w:tc>
        <w:tc>
          <w:tcPr>
            <w:tcW w:w="0" w:type="auto"/>
            <w:shd w:val="clear" w:color="auto" w:fill="FFFFFF"/>
            <w:vAlign w:val="center"/>
          </w:tcPr>
          <w:p w14:paraId="53E70D22">
            <w:pPr>
              <w:widowControl/>
              <w:spacing w:line="0" w:lineRule="atLeast"/>
              <w:jc w:val="center"/>
              <w:rPr>
                <w:color w:val="000000"/>
                <w:kern w:val="0"/>
                <w:sz w:val="22"/>
                <w:szCs w:val="22"/>
              </w:rPr>
            </w:pPr>
            <w:r>
              <w:rPr>
                <w:color w:val="000000"/>
                <w:kern w:val="0"/>
                <w:sz w:val="22"/>
                <w:szCs w:val="22"/>
              </w:rPr>
              <w:t>质量达标率</w:t>
            </w:r>
          </w:p>
        </w:tc>
        <w:tc>
          <w:tcPr>
            <w:tcW w:w="0" w:type="auto"/>
            <w:shd w:val="clear" w:color="000000" w:fill="FFFFFF"/>
            <w:vAlign w:val="center"/>
          </w:tcPr>
          <w:p w14:paraId="296A272A">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0" w:type="auto"/>
            <w:shd w:val="clear" w:color="000000" w:fill="FFFFFF"/>
            <w:vAlign w:val="center"/>
          </w:tcPr>
          <w:p w14:paraId="458B2375">
            <w:pPr>
              <w:widowControl/>
              <w:spacing w:line="0" w:lineRule="atLeast"/>
              <w:rPr>
                <w:color w:val="000000"/>
                <w:kern w:val="0"/>
                <w:sz w:val="22"/>
                <w:szCs w:val="22"/>
              </w:rPr>
            </w:pPr>
            <w:r>
              <w:rPr>
                <w:color w:val="000000"/>
                <w:kern w:val="0"/>
                <w:sz w:val="22"/>
                <w:szCs w:val="22"/>
              </w:rPr>
              <w:t>质量达标率=（质量达标产出数/实际产出数）×100%。</w:t>
            </w:r>
          </w:p>
          <w:p w14:paraId="67C6BC17">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0" w:type="auto"/>
            <w:shd w:val="clear" w:color="000000" w:fill="FFFFFF"/>
            <w:vAlign w:val="center"/>
          </w:tcPr>
          <w:p w14:paraId="3FC3D744">
            <w:pPr>
              <w:widowControl/>
              <w:spacing w:line="0" w:lineRule="atLeast"/>
              <w:jc w:val="center"/>
              <w:rPr>
                <w:b/>
                <w:bCs/>
                <w:color w:val="000000"/>
                <w:kern w:val="0"/>
                <w:sz w:val="22"/>
                <w:szCs w:val="22"/>
              </w:rPr>
            </w:pPr>
            <w:r>
              <w:rPr>
                <w:b/>
                <w:bCs/>
                <w:color w:val="000000"/>
                <w:kern w:val="0"/>
                <w:sz w:val="22"/>
                <w:szCs w:val="22"/>
              </w:rPr>
              <w:t>10</w:t>
            </w:r>
          </w:p>
        </w:tc>
        <w:tc>
          <w:tcPr>
            <w:tcW w:w="0" w:type="auto"/>
            <w:shd w:val="clear" w:color="000000" w:fill="FFFFFF"/>
            <w:vAlign w:val="center"/>
          </w:tcPr>
          <w:p w14:paraId="3D8E4F50">
            <w:pPr>
              <w:widowControl/>
              <w:spacing w:line="0" w:lineRule="atLeast"/>
              <w:jc w:val="center"/>
              <w:rPr>
                <w:b/>
                <w:bCs/>
                <w:color w:val="000000"/>
                <w:kern w:val="0"/>
                <w:sz w:val="22"/>
                <w:szCs w:val="22"/>
              </w:rPr>
            </w:pPr>
            <w:r>
              <w:rPr>
                <w:rFonts w:hint="eastAsia"/>
                <w:b/>
                <w:bCs/>
                <w:color w:val="000000"/>
                <w:kern w:val="0"/>
                <w:sz w:val="22"/>
                <w:szCs w:val="22"/>
              </w:rPr>
              <w:t>9</w:t>
            </w:r>
          </w:p>
        </w:tc>
      </w:tr>
      <w:tr w14:paraId="5EEE6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0" w:type="auto"/>
            <w:vMerge w:val="continue"/>
            <w:shd w:val="clear" w:color="auto" w:fill="FFFFFF"/>
            <w:vAlign w:val="center"/>
          </w:tcPr>
          <w:p w14:paraId="7C089202">
            <w:pPr>
              <w:spacing w:line="0" w:lineRule="atLeast"/>
              <w:jc w:val="center"/>
              <w:rPr>
                <w:color w:val="000000"/>
                <w:kern w:val="0"/>
                <w:sz w:val="22"/>
                <w:szCs w:val="22"/>
              </w:rPr>
            </w:pPr>
          </w:p>
        </w:tc>
        <w:tc>
          <w:tcPr>
            <w:tcW w:w="0" w:type="auto"/>
            <w:shd w:val="clear" w:color="auto" w:fill="FFFFFF"/>
            <w:vAlign w:val="center"/>
          </w:tcPr>
          <w:p w14:paraId="61B7693A">
            <w:pPr>
              <w:spacing w:line="0" w:lineRule="atLeast"/>
              <w:jc w:val="center"/>
              <w:rPr>
                <w:color w:val="000000"/>
                <w:kern w:val="0"/>
                <w:sz w:val="22"/>
                <w:szCs w:val="22"/>
              </w:rPr>
            </w:pPr>
            <w:r>
              <w:rPr>
                <w:color w:val="000000"/>
                <w:kern w:val="0"/>
                <w:sz w:val="22"/>
                <w:szCs w:val="22"/>
              </w:rPr>
              <w:t>产出时效</w:t>
            </w:r>
          </w:p>
        </w:tc>
        <w:tc>
          <w:tcPr>
            <w:tcW w:w="0" w:type="auto"/>
            <w:shd w:val="clear" w:color="auto" w:fill="FFFFFF"/>
            <w:vAlign w:val="center"/>
          </w:tcPr>
          <w:p w14:paraId="0B1F126E">
            <w:pPr>
              <w:widowControl/>
              <w:spacing w:line="0" w:lineRule="atLeast"/>
              <w:jc w:val="center"/>
              <w:rPr>
                <w:color w:val="000000"/>
                <w:kern w:val="0"/>
                <w:sz w:val="22"/>
                <w:szCs w:val="22"/>
              </w:rPr>
            </w:pPr>
            <w:r>
              <w:rPr>
                <w:color w:val="000000"/>
                <w:kern w:val="0"/>
                <w:sz w:val="22"/>
                <w:szCs w:val="22"/>
              </w:rPr>
              <w:t>完成及时性</w:t>
            </w:r>
          </w:p>
        </w:tc>
        <w:tc>
          <w:tcPr>
            <w:tcW w:w="0" w:type="auto"/>
            <w:shd w:val="clear" w:color="000000" w:fill="FFFFFF"/>
            <w:vAlign w:val="center"/>
          </w:tcPr>
          <w:p w14:paraId="229432D7">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0" w:type="auto"/>
            <w:shd w:val="clear" w:color="000000" w:fill="FFFFFF"/>
            <w:vAlign w:val="center"/>
          </w:tcPr>
          <w:p w14:paraId="0BA9B4B3">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0" w:type="auto"/>
            <w:shd w:val="clear" w:color="000000" w:fill="FFFFFF"/>
            <w:vAlign w:val="center"/>
          </w:tcPr>
          <w:p w14:paraId="52398C74">
            <w:pPr>
              <w:widowControl/>
              <w:spacing w:line="0" w:lineRule="atLeast"/>
              <w:jc w:val="center"/>
              <w:rPr>
                <w:b/>
                <w:bCs/>
                <w:color w:val="000000"/>
                <w:kern w:val="0"/>
                <w:sz w:val="22"/>
                <w:szCs w:val="22"/>
              </w:rPr>
            </w:pPr>
            <w:r>
              <w:rPr>
                <w:b/>
                <w:bCs/>
                <w:color w:val="000000"/>
                <w:kern w:val="0"/>
                <w:sz w:val="22"/>
                <w:szCs w:val="22"/>
              </w:rPr>
              <w:t>1</w:t>
            </w:r>
            <w:r>
              <w:rPr>
                <w:rFonts w:hint="eastAsia"/>
                <w:b/>
                <w:bCs/>
                <w:color w:val="000000"/>
                <w:kern w:val="0"/>
                <w:sz w:val="22"/>
                <w:szCs w:val="22"/>
              </w:rPr>
              <w:t>0</w:t>
            </w:r>
          </w:p>
        </w:tc>
        <w:tc>
          <w:tcPr>
            <w:tcW w:w="0" w:type="auto"/>
            <w:shd w:val="clear" w:color="000000" w:fill="FFFFFF"/>
            <w:vAlign w:val="center"/>
          </w:tcPr>
          <w:p w14:paraId="71C1A371">
            <w:pPr>
              <w:widowControl/>
              <w:spacing w:line="0" w:lineRule="atLeast"/>
              <w:jc w:val="center"/>
              <w:rPr>
                <w:b/>
                <w:bCs/>
                <w:color w:val="000000"/>
                <w:kern w:val="0"/>
                <w:sz w:val="22"/>
                <w:szCs w:val="22"/>
              </w:rPr>
            </w:pPr>
            <w:r>
              <w:rPr>
                <w:rFonts w:hint="eastAsia"/>
                <w:b/>
                <w:bCs/>
                <w:color w:val="000000"/>
                <w:kern w:val="0"/>
                <w:sz w:val="22"/>
                <w:szCs w:val="22"/>
              </w:rPr>
              <w:t>9</w:t>
            </w:r>
          </w:p>
        </w:tc>
      </w:tr>
      <w:tr w14:paraId="43A93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0" w:type="auto"/>
            <w:vMerge w:val="continue"/>
            <w:shd w:val="clear" w:color="auto" w:fill="FFFFFF"/>
            <w:vAlign w:val="center"/>
          </w:tcPr>
          <w:p w14:paraId="7696D474">
            <w:pPr>
              <w:widowControl/>
              <w:spacing w:line="0" w:lineRule="atLeast"/>
              <w:jc w:val="center"/>
              <w:rPr>
                <w:color w:val="000000"/>
                <w:kern w:val="0"/>
                <w:sz w:val="22"/>
                <w:szCs w:val="22"/>
              </w:rPr>
            </w:pPr>
          </w:p>
        </w:tc>
        <w:tc>
          <w:tcPr>
            <w:tcW w:w="0" w:type="auto"/>
            <w:shd w:val="clear" w:color="auto" w:fill="FFFFFF"/>
            <w:vAlign w:val="center"/>
          </w:tcPr>
          <w:p w14:paraId="208AB5CE">
            <w:pPr>
              <w:widowControl/>
              <w:spacing w:line="0" w:lineRule="atLeast"/>
              <w:jc w:val="center"/>
              <w:rPr>
                <w:color w:val="000000"/>
                <w:kern w:val="0"/>
                <w:sz w:val="22"/>
                <w:szCs w:val="22"/>
              </w:rPr>
            </w:pPr>
            <w:r>
              <w:rPr>
                <w:color w:val="000000"/>
                <w:kern w:val="0"/>
                <w:sz w:val="22"/>
                <w:szCs w:val="22"/>
              </w:rPr>
              <w:t>产出成本</w:t>
            </w:r>
          </w:p>
        </w:tc>
        <w:tc>
          <w:tcPr>
            <w:tcW w:w="0" w:type="auto"/>
            <w:shd w:val="clear" w:color="auto" w:fill="FFFFFF"/>
            <w:vAlign w:val="center"/>
          </w:tcPr>
          <w:p w14:paraId="27E379CE">
            <w:pPr>
              <w:widowControl/>
              <w:spacing w:line="0" w:lineRule="atLeast"/>
              <w:jc w:val="center"/>
              <w:rPr>
                <w:color w:val="000000"/>
                <w:kern w:val="0"/>
                <w:sz w:val="22"/>
                <w:szCs w:val="22"/>
              </w:rPr>
            </w:pPr>
            <w:r>
              <w:rPr>
                <w:color w:val="000000"/>
                <w:kern w:val="0"/>
                <w:sz w:val="22"/>
                <w:szCs w:val="22"/>
              </w:rPr>
              <w:t>成本节约率</w:t>
            </w:r>
          </w:p>
        </w:tc>
        <w:tc>
          <w:tcPr>
            <w:tcW w:w="0" w:type="auto"/>
            <w:shd w:val="clear" w:color="000000" w:fill="FFFFFF"/>
            <w:vAlign w:val="center"/>
          </w:tcPr>
          <w:p w14:paraId="605FAAB5">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0" w:type="auto"/>
            <w:shd w:val="clear" w:color="000000" w:fill="FFFFFF"/>
            <w:vAlign w:val="center"/>
          </w:tcPr>
          <w:p w14:paraId="614A9EFC">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0" w:type="auto"/>
            <w:shd w:val="clear" w:color="000000" w:fill="FFFFFF"/>
            <w:vAlign w:val="center"/>
          </w:tcPr>
          <w:p w14:paraId="39E5B0C4">
            <w:pPr>
              <w:widowControl/>
              <w:spacing w:line="0" w:lineRule="atLeast"/>
              <w:jc w:val="center"/>
              <w:rPr>
                <w:b/>
                <w:bCs/>
                <w:color w:val="000000"/>
                <w:kern w:val="0"/>
                <w:sz w:val="22"/>
                <w:szCs w:val="22"/>
              </w:rPr>
            </w:pPr>
            <w:r>
              <w:rPr>
                <w:b/>
                <w:bCs/>
                <w:color w:val="000000"/>
                <w:kern w:val="0"/>
                <w:sz w:val="22"/>
                <w:szCs w:val="22"/>
              </w:rPr>
              <w:t>10</w:t>
            </w:r>
          </w:p>
        </w:tc>
        <w:tc>
          <w:tcPr>
            <w:tcW w:w="0" w:type="auto"/>
            <w:shd w:val="clear" w:color="000000" w:fill="FFFFFF"/>
            <w:vAlign w:val="center"/>
          </w:tcPr>
          <w:p w14:paraId="060274B5">
            <w:pPr>
              <w:widowControl/>
              <w:spacing w:line="0" w:lineRule="atLeast"/>
              <w:jc w:val="center"/>
              <w:rPr>
                <w:b/>
                <w:bCs/>
                <w:color w:val="000000"/>
                <w:kern w:val="0"/>
                <w:sz w:val="22"/>
                <w:szCs w:val="22"/>
              </w:rPr>
            </w:pPr>
            <w:r>
              <w:rPr>
                <w:rFonts w:hint="eastAsia"/>
                <w:b/>
                <w:bCs/>
                <w:color w:val="000000"/>
                <w:kern w:val="0"/>
                <w:sz w:val="22"/>
                <w:szCs w:val="22"/>
              </w:rPr>
              <w:t>10</w:t>
            </w:r>
          </w:p>
        </w:tc>
      </w:tr>
      <w:tr w14:paraId="7FA59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0" w:type="auto"/>
            <w:vMerge w:val="restart"/>
            <w:shd w:val="clear" w:color="auto" w:fill="FFFFFF"/>
            <w:vAlign w:val="center"/>
          </w:tcPr>
          <w:p w14:paraId="6A3C30FC">
            <w:pPr>
              <w:widowControl/>
              <w:spacing w:line="0" w:lineRule="atLeast"/>
              <w:jc w:val="center"/>
              <w:rPr>
                <w:color w:val="000000"/>
                <w:kern w:val="0"/>
                <w:sz w:val="22"/>
                <w:szCs w:val="22"/>
              </w:rPr>
            </w:pPr>
            <w:r>
              <w:rPr>
                <w:color w:val="000000"/>
                <w:kern w:val="0"/>
                <w:sz w:val="22"/>
                <w:szCs w:val="22"/>
              </w:rPr>
              <w:t>效益　</w:t>
            </w:r>
          </w:p>
        </w:tc>
        <w:tc>
          <w:tcPr>
            <w:tcW w:w="0" w:type="auto"/>
            <w:vMerge w:val="restart"/>
            <w:shd w:val="clear" w:color="auto" w:fill="FFFFFF"/>
            <w:vAlign w:val="center"/>
          </w:tcPr>
          <w:p w14:paraId="02C04772">
            <w:pPr>
              <w:widowControl/>
              <w:spacing w:line="0" w:lineRule="atLeast"/>
              <w:jc w:val="center"/>
              <w:rPr>
                <w:color w:val="000000"/>
                <w:kern w:val="0"/>
                <w:sz w:val="22"/>
                <w:szCs w:val="22"/>
              </w:rPr>
            </w:pPr>
            <w:r>
              <w:rPr>
                <w:color w:val="000000"/>
                <w:kern w:val="0"/>
                <w:sz w:val="22"/>
                <w:szCs w:val="22"/>
              </w:rPr>
              <w:t>项目效益　</w:t>
            </w:r>
          </w:p>
        </w:tc>
        <w:tc>
          <w:tcPr>
            <w:tcW w:w="0" w:type="auto"/>
            <w:shd w:val="clear" w:color="auto" w:fill="FFFFFF"/>
            <w:vAlign w:val="center"/>
          </w:tcPr>
          <w:p w14:paraId="0A921FA5">
            <w:pPr>
              <w:widowControl/>
              <w:spacing w:line="0" w:lineRule="atLeast"/>
              <w:jc w:val="center"/>
              <w:rPr>
                <w:color w:val="000000"/>
                <w:kern w:val="0"/>
                <w:sz w:val="22"/>
                <w:szCs w:val="22"/>
              </w:rPr>
            </w:pPr>
            <w:r>
              <w:rPr>
                <w:color w:val="000000"/>
                <w:kern w:val="0"/>
                <w:sz w:val="22"/>
                <w:szCs w:val="22"/>
              </w:rPr>
              <w:t>实施效益</w:t>
            </w:r>
          </w:p>
        </w:tc>
        <w:tc>
          <w:tcPr>
            <w:tcW w:w="0" w:type="auto"/>
            <w:shd w:val="clear" w:color="auto" w:fill="FFFFFF"/>
            <w:vAlign w:val="center"/>
          </w:tcPr>
          <w:p w14:paraId="1892C17B">
            <w:pPr>
              <w:widowControl/>
              <w:spacing w:line="0" w:lineRule="atLeast"/>
              <w:jc w:val="left"/>
              <w:rPr>
                <w:color w:val="000000"/>
                <w:kern w:val="0"/>
                <w:sz w:val="22"/>
                <w:szCs w:val="22"/>
              </w:rPr>
            </w:pPr>
            <w:r>
              <w:rPr>
                <w:color w:val="000000"/>
                <w:kern w:val="0"/>
                <w:sz w:val="22"/>
                <w:szCs w:val="22"/>
              </w:rPr>
              <w:t>项目实施所产生的效益。</w:t>
            </w:r>
          </w:p>
        </w:tc>
        <w:tc>
          <w:tcPr>
            <w:tcW w:w="0" w:type="auto"/>
            <w:shd w:val="clear" w:color="auto" w:fill="FFFFFF"/>
            <w:vAlign w:val="center"/>
          </w:tcPr>
          <w:p w14:paraId="5581801F">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0" w:type="auto"/>
            <w:shd w:val="clear" w:color="auto" w:fill="FFFFFF"/>
            <w:vAlign w:val="center"/>
          </w:tcPr>
          <w:p w14:paraId="34DB34EF">
            <w:pPr>
              <w:widowControl/>
              <w:spacing w:line="0" w:lineRule="atLeast"/>
              <w:jc w:val="center"/>
              <w:rPr>
                <w:b/>
                <w:bCs/>
                <w:color w:val="000000"/>
                <w:kern w:val="0"/>
                <w:sz w:val="22"/>
                <w:szCs w:val="22"/>
              </w:rPr>
            </w:pPr>
            <w:r>
              <w:rPr>
                <w:rFonts w:hint="eastAsia"/>
                <w:b/>
                <w:bCs/>
                <w:color w:val="000000"/>
                <w:kern w:val="0"/>
                <w:sz w:val="22"/>
                <w:szCs w:val="22"/>
              </w:rPr>
              <w:t>15</w:t>
            </w:r>
          </w:p>
        </w:tc>
        <w:tc>
          <w:tcPr>
            <w:tcW w:w="0" w:type="auto"/>
            <w:shd w:val="clear" w:color="auto" w:fill="FFFFFF"/>
            <w:vAlign w:val="center"/>
          </w:tcPr>
          <w:p w14:paraId="1D3026F3">
            <w:pPr>
              <w:widowControl/>
              <w:spacing w:line="0" w:lineRule="atLeast"/>
              <w:jc w:val="center"/>
              <w:rPr>
                <w:b/>
                <w:bCs/>
                <w:color w:val="000000"/>
                <w:kern w:val="0"/>
                <w:sz w:val="22"/>
                <w:szCs w:val="22"/>
              </w:rPr>
            </w:pPr>
            <w:r>
              <w:rPr>
                <w:rFonts w:hint="eastAsia"/>
                <w:b/>
                <w:bCs/>
                <w:color w:val="000000"/>
                <w:kern w:val="0"/>
                <w:sz w:val="22"/>
                <w:szCs w:val="22"/>
              </w:rPr>
              <w:t>15</w:t>
            </w:r>
          </w:p>
        </w:tc>
      </w:tr>
      <w:tr w14:paraId="0EFF5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0" w:type="auto"/>
            <w:vMerge w:val="continue"/>
            <w:shd w:val="clear" w:color="auto" w:fill="FFFFFF"/>
            <w:vAlign w:val="center"/>
          </w:tcPr>
          <w:p w14:paraId="3D601082">
            <w:pPr>
              <w:widowControl/>
              <w:spacing w:line="0" w:lineRule="atLeast"/>
              <w:jc w:val="center"/>
              <w:rPr>
                <w:color w:val="000000"/>
                <w:kern w:val="0"/>
                <w:sz w:val="22"/>
                <w:szCs w:val="22"/>
              </w:rPr>
            </w:pPr>
          </w:p>
        </w:tc>
        <w:tc>
          <w:tcPr>
            <w:tcW w:w="0" w:type="auto"/>
            <w:vMerge w:val="continue"/>
            <w:shd w:val="clear" w:color="auto" w:fill="FFFFFF"/>
            <w:vAlign w:val="center"/>
          </w:tcPr>
          <w:p w14:paraId="39BD356A">
            <w:pPr>
              <w:widowControl/>
              <w:spacing w:line="0" w:lineRule="atLeast"/>
              <w:jc w:val="center"/>
              <w:rPr>
                <w:color w:val="000000"/>
                <w:kern w:val="0"/>
                <w:sz w:val="22"/>
                <w:szCs w:val="22"/>
              </w:rPr>
            </w:pPr>
          </w:p>
        </w:tc>
        <w:tc>
          <w:tcPr>
            <w:tcW w:w="0" w:type="auto"/>
            <w:shd w:val="clear" w:color="auto" w:fill="FFFFFF"/>
            <w:vAlign w:val="center"/>
          </w:tcPr>
          <w:p w14:paraId="58AD8DF9">
            <w:pPr>
              <w:widowControl/>
              <w:spacing w:line="0" w:lineRule="atLeast"/>
              <w:jc w:val="center"/>
              <w:rPr>
                <w:color w:val="000000"/>
                <w:kern w:val="0"/>
                <w:sz w:val="22"/>
                <w:szCs w:val="22"/>
              </w:rPr>
            </w:pPr>
            <w:r>
              <w:rPr>
                <w:color w:val="000000"/>
                <w:kern w:val="0"/>
                <w:sz w:val="22"/>
                <w:szCs w:val="22"/>
              </w:rPr>
              <w:t>满意度</w:t>
            </w:r>
          </w:p>
        </w:tc>
        <w:tc>
          <w:tcPr>
            <w:tcW w:w="0" w:type="auto"/>
            <w:shd w:val="clear" w:color="000000" w:fill="FFFFFF"/>
            <w:vAlign w:val="center"/>
          </w:tcPr>
          <w:p w14:paraId="1CAB3C22">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0" w:type="auto"/>
            <w:shd w:val="clear" w:color="000000" w:fill="FFFFFF"/>
            <w:vAlign w:val="center"/>
          </w:tcPr>
          <w:p w14:paraId="5CBCA8F4">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0" w:type="auto"/>
            <w:shd w:val="clear" w:color="000000" w:fill="FFFFFF"/>
            <w:vAlign w:val="center"/>
          </w:tcPr>
          <w:p w14:paraId="6792A996">
            <w:pPr>
              <w:widowControl/>
              <w:spacing w:line="0" w:lineRule="atLeast"/>
              <w:jc w:val="center"/>
              <w:rPr>
                <w:b/>
                <w:bCs/>
                <w:color w:val="000000"/>
                <w:kern w:val="0"/>
                <w:sz w:val="22"/>
                <w:szCs w:val="22"/>
              </w:rPr>
            </w:pPr>
            <w:r>
              <w:rPr>
                <w:rFonts w:hint="eastAsia"/>
                <w:b/>
                <w:bCs/>
                <w:color w:val="000000"/>
                <w:kern w:val="0"/>
                <w:sz w:val="22"/>
                <w:szCs w:val="22"/>
              </w:rPr>
              <w:t>5</w:t>
            </w:r>
          </w:p>
        </w:tc>
        <w:tc>
          <w:tcPr>
            <w:tcW w:w="0" w:type="auto"/>
            <w:shd w:val="clear" w:color="000000" w:fill="FFFFFF"/>
            <w:vAlign w:val="center"/>
          </w:tcPr>
          <w:p w14:paraId="1B482DFF">
            <w:pPr>
              <w:widowControl/>
              <w:spacing w:line="0" w:lineRule="atLeast"/>
              <w:jc w:val="center"/>
              <w:rPr>
                <w:b/>
                <w:bCs/>
                <w:color w:val="000000"/>
                <w:kern w:val="0"/>
                <w:sz w:val="22"/>
                <w:szCs w:val="22"/>
              </w:rPr>
            </w:pPr>
            <w:r>
              <w:rPr>
                <w:rFonts w:hint="eastAsia"/>
                <w:b/>
                <w:bCs/>
                <w:color w:val="000000"/>
                <w:kern w:val="0"/>
                <w:sz w:val="22"/>
                <w:szCs w:val="22"/>
              </w:rPr>
              <w:t>5</w:t>
            </w:r>
          </w:p>
        </w:tc>
      </w:tr>
      <w:bookmarkEnd w:id="2"/>
    </w:tbl>
    <w:p w14:paraId="2E3C42F9">
      <w:pPr>
        <w:pStyle w:val="2"/>
        <w:rPr>
          <w:rFonts w:ascii="Times New Roman" w:hAnsi="Times New Roman"/>
        </w:rPr>
      </w:pPr>
    </w:p>
    <w:p w14:paraId="4EF6D4BC">
      <w:pPr>
        <w:spacing w:line="540" w:lineRule="exact"/>
        <w:rPr>
          <w:rStyle w:val="23"/>
          <w:rFonts w:eastAsia="仿宋"/>
          <w:b w:val="0"/>
          <w:spacing w:val="-4"/>
          <w:sz w:val="32"/>
          <w:szCs w:val="32"/>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04B76A-2804-451D-9F69-6B023E6A08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embedRegular r:id="rId2" w:fontKey="{72D3A055-5A26-45F5-931B-0C8E10705E39}"/>
  </w:font>
  <w:font w:name="华文中宋">
    <w:panose1 w:val="02010600040101010101"/>
    <w:charset w:val="86"/>
    <w:family w:val="auto"/>
    <w:pitch w:val="default"/>
    <w:sig w:usb0="00000287" w:usb1="080F0000" w:usb2="00000000" w:usb3="00000000" w:csb0="0004009F" w:csb1="DFD70000"/>
    <w:embedRegular r:id="rId3" w:fontKey="{C0CC3C69-F89D-456A-85ED-4FB3BAA3CC02}"/>
  </w:font>
  <w:font w:name="方正小标宋_GBK">
    <w:altName w:val="Arial Unicode MS"/>
    <w:panose1 w:val="02000000000000000000"/>
    <w:charset w:val="86"/>
    <w:family w:val="script"/>
    <w:pitch w:val="default"/>
    <w:sig w:usb0="00000000" w:usb1="00000000" w:usb2="00000000" w:usb3="00000000" w:csb0="00040000" w:csb1="00000000"/>
    <w:embedRegular r:id="rId4" w:fontKey="{E131042C-CCE5-4F44-A65F-A0698FA6AD8A}"/>
  </w:font>
  <w:font w:name="CESI仿宋-GB2312">
    <w:altName w:val="仿宋"/>
    <w:panose1 w:val="02000500000000000000"/>
    <w:charset w:val="86"/>
    <w:family w:val="auto"/>
    <w:pitch w:val="default"/>
    <w:sig w:usb0="00000000" w:usb1="00000000" w:usb2="00000010" w:usb3="00000000" w:csb0="0004000F" w:csb1="00000000"/>
    <w:embedRegular r:id="rId5" w:fontKey="{32816572-B080-4CD9-AE53-5227A916D540}"/>
  </w:font>
  <w:font w:name="楷体_GB2312">
    <w:altName w:val="楷体"/>
    <w:panose1 w:val="02010609030101010101"/>
    <w:charset w:val="86"/>
    <w:family w:val="modern"/>
    <w:pitch w:val="default"/>
    <w:sig w:usb0="00000000" w:usb1="00000000" w:usb2="00000010" w:usb3="00000000" w:csb0="00040000" w:csb1="00000000"/>
    <w:embedRegular r:id="rId6" w:fontKey="{35106DF4-42EE-4D8F-B90D-C08B78BB705E}"/>
  </w:font>
  <w:font w:name="楷体">
    <w:panose1 w:val="02010609060101010101"/>
    <w:charset w:val="86"/>
    <w:family w:val="modern"/>
    <w:pitch w:val="default"/>
    <w:sig w:usb0="800002BF" w:usb1="38CF7CFA" w:usb2="00000016" w:usb3="00000000" w:csb0="00040001" w:csb1="00000000"/>
    <w:embedRegular r:id="rId7" w:fontKey="{1FCB6CB7-AEF5-404B-B165-2039A2DF5725}"/>
  </w:font>
  <w:font w:name="方正小标宋简体">
    <w:altName w:val="Arial Unicode MS"/>
    <w:panose1 w:val="02000000000000000000"/>
    <w:charset w:val="86"/>
    <w:family w:val="auto"/>
    <w:pitch w:val="default"/>
    <w:sig w:usb0="00000000" w:usb1="00000000" w:usb2="00000012" w:usb3="00000000" w:csb0="00040001" w:csb1="00000000"/>
    <w:embedRegular r:id="rId8" w:fontKey="{ED7F8C60-3F21-48E5-A93F-0F2765DB35AF}"/>
  </w:font>
  <w:font w:name="仿宋">
    <w:panose1 w:val="02010609060101010101"/>
    <w:charset w:val="86"/>
    <w:family w:val="modern"/>
    <w:pitch w:val="default"/>
    <w:sig w:usb0="800002BF" w:usb1="38CF7CFA" w:usb2="00000016" w:usb3="00000000" w:csb0="00040001" w:csb1="00000000"/>
    <w:embedRegular r:id="rId9" w:fontKey="{C4241CCB-5644-4066-A4FB-B5D26F24DF41}"/>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EndPr>
      <w:rPr>
        <w:sz w:val="28"/>
        <w:szCs w:val="28"/>
      </w:rPr>
    </w:sdtEndPr>
    <w:sdtContent>
      <w:p w14:paraId="092FD5F1">
        <w:pPr>
          <w:pStyle w:val="16"/>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p w14:paraId="29224E5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50BA">
    <w:pPr>
      <w:pStyle w:val="17"/>
      <w:pBdr>
        <w:bottom w:val="none" w:color="auto" w:sz="0" w:space="0"/>
      </w:pBdr>
    </w:pPr>
  </w:p>
  <w:p w14:paraId="2BBCD4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29BF"/>
    <w:multiLevelType w:val="singleLevel"/>
    <w:tmpl w:val="116B29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mYTVhMTc5ZWU5YzNmNmM1ZTA2NzEwMmZkYjk2ZTQifQ=="/>
  </w:docVars>
  <w:rsids>
    <w:rsidRoot w:val="00CA6457"/>
    <w:rsid w:val="00024964"/>
    <w:rsid w:val="00055DE0"/>
    <w:rsid w:val="00056465"/>
    <w:rsid w:val="00083867"/>
    <w:rsid w:val="00096A92"/>
    <w:rsid w:val="000C51AE"/>
    <w:rsid w:val="000E50F0"/>
    <w:rsid w:val="000E586C"/>
    <w:rsid w:val="000F0FBB"/>
    <w:rsid w:val="00116EE1"/>
    <w:rsid w:val="00121AE4"/>
    <w:rsid w:val="00121EE9"/>
    <w:rsid w:val="00136968"/>
    <w:rsid w:val="00146AAD"/>
    <w:rsid w:val="001A6BC5"/>
    <w:rsid w:val="001B3A40"/>
    <w:rsid w:val="00200850"/>
    <w:rsid w:val="00210FEA"/>
    <w:rsid w:val="00231D0F"/>
    <w:rsid w:val="00247C11"/>
    <w:rsid w:val="002556C7"/>
    <w:rsid w:val="00280F66"/>
    <w:rsid w:val="002901ED"/>
    <w:rsid w:val="00290C84"/>
    <w:rsid w:val="00314F8E"/>
    <w:rsid w:val="00357CE5"/>
    <w:rsid w:val="00357F2D"/>
    <w:rsid w:val="003748BB"/>
    <w:rsid w:val="003C18BC"/>
    <w:rsid w:val="00430B95"/>
    <w:rsid w:val="004366A8"/>
    <w:rsid w:val="00464900"/>
    <w:rsid w:val="004C3B9C"/>
    <w:rsid w:val="004F3919"/>
    <w:rsid w:val="0050203C"/>
    <w:rsid w:val="00502BA7"/>
    <w:rsid w:val="005162F1"/>
    <w:rsid w:val="00523D9A"/>
    <w:rsid w:val="00525C43"/>
    <w:rsid w:val="005307F5"/>
    <w:rsid w:val="005346A5"/>
    <w:rsid w:val="00535153"/>
    <w:rsid w:val="0054238C"/>
    <w:rsid w:val="00554F82"/>
    <w:rsid w:val="0056390D"/>
    <w:rsid w:val="005719B0"/>
    <w:rsid w:val="005C7A58"/>
    <w:rsid w:val="005D10D6"/>
    <w:rsid w:val="00637585"/>
    <w:rsid w:val="0065130C"/>
    <w:rsid w:val="006D0CA2"/>
    <w:rsid w:val="00712A64"/>
    <w:rsid w:val="00741D4C"/>
    <w:rsid w:val="00757C47"/>
    <w:rsid w:val="0076448E"/>
    <w:rsid w:val="00777B79"/>
    <w:rsid w:val="007806A5"/>
    <w:rsid w:val="007944EB"/>
    <w:rsid w:val="007A2D58"/>
    <w:rsid w:val="007A3508"/>
    <w:rsid w:val="007A3ED9"/>
    <w:rsid w:val="007B5A65"/>
    <w:rsid w:val="007F18A8"/>
    <w:rsid w:val="00827689"/>
    <w:rsid w:val="008502BC"/>
    <w:rsid w:val="0085126D"/>
    <w:rsid w:val="00855E3A"/>
    <w:rsid w:val="0087145B"/>
    <w:rsid w:val="00873786"/>
    <w:rsid w:val="008F7A61"/>
    <w:rsid w:val="00920B8F"/>
    <w:rsid w:val="00922CB9"/>
    <w:rsid w:val="00922F92"/>
    <w:rsid w:val="009522CB"/>
    <w:rsid w:val="009E5AE1"/>
    <w:rsid w:val="009E5CD9"/>
    <w:rsid w:val="009F68CA"/>
    <w:rsid w:val="00A01B47"/>
    <w:rsid w:val="00A11533"/>
    <w:rsid w:val="00A26421"/>
    <w:rsid w:val="00A372A9"/>
    <w:rsid w:val="00A4293B"/>
    <w:rsid w:val="00A67D50"/>
    <w:rsid w:val="00A8691A"/>
    <w:rsid w:val="00AC1946"/>
    <w:rsid w:val="00B20A30"/>
    <w:rsid w:val="00B30776"/>
    <w:rsid w:val="00B34F80"/>
    <w:rsid w:val="00B40063"/>
    <w:rsid w:val="00B41F61"/>
    <w:rsid w:val="00BA46E6"/>
    <w:rsid w:val="00BB4816"/>
    <w:rsid w:val="00C1632D"/>
    <w:rsid w:val="00C20F12"/>
    <w:rsid w:val="00C56C72"/>
    <w:rsid w:val="00C776D0"/>
    <w:rsid w:val="00C937C1"/>
    <w:rsid w:val="00CA6457"/>
    <w:rsid w:val="00CC1E77"/>
    <w:rsid w:val="00CE67D6"/>
    <w:rsid w:val="00D04628"/>
    <w:rsid w:val="00D15153"/>
    <w:rsid w:val="00D17F2E"/>
    <w:rsid w:val="00D30354"/>
    <w:rsid w:val="00DA0858"/>
    <w:rsid w:val="00DC564D"/>
    <w:rsid w:val="00DC68D1"/>
    <w:rsid w:val="00DD108A"/>
    <w:rsid w:val="00DF42A0"/>
    <w:rsid w:val="00DF7C45"/>
    <w:rsid w:val="00E31565"/>
    <w:rsid w:val="00E3355B"/>
    <w:rsid w:val="00E46C51"/>
    <w:rsid w:val="00E659F7"/>
    <w:rsid w:val="00E769FE"/>
    <w:rsid w:val="00E8487D"/>
    <w:rsid w:val="00EA2CBE"/>
    <w:rsid w:val="00F20494"/>
    <w:rsid w:val="00F239BB"/>
    <w:rsid w:val="00F32FEE"/>
    <w:rsid w:val="00F71278"/>
    <w:rsid w:val="00F84D0A"/>
    <w:rsid w:val="00FA15E9"/>
    <w:rsid w:val="00FB10BB"/>
    <w:rsid w:val="00FD3441"/>
    <w:rsid w:val="00FE6888"/>
    <w:rsid w:val="051A56F5"/>
    <w:rsid w:val="066D6EAA"/>
    <w:rsid w:val="06DC1681"/>
    <w:rsid w:val="08C662D4"/>
    <w:rsid w:val="09BD4D95"/>
    <w:rsid w:val="0B0F58D6"/>
    <w:rsid w:val="0F8D41CB"/>
    <w:rsid w:val="0FEE2F21"/>
    <w:rsid w:val="11C75270"/>
    <w:rsid w:val="12637CC3"/>
    <w:rsid w:val="12E657C5"/>
    <w:rsid w:val="133C6E2A"/>
    <w:rsid w:val="167C7687"/>
    <w:rsid w:val="168B3546"/>
    <w:rsid w:val="17575E8E"/>
    <w:rsid w:val="19053298"/>
    <w:rsid w:val="19E07918"/>
    <w:rsid w:val="1A2374E0"/>
    <w:rsid w:val="1AB25DD5"/>
    <w:rsid w:val="1BF54692"/>
    <w:rsid w:val="1C317CE2"/>
    <w:rsid w:val="1DD45808"/>
    <w:rsid w:val="1DED42AC"/>
    <w:rsid w:val="20005763"/>
    <w:rsid w:val="20271F18"/>
    <w:rsid w:val="20E966C5"/>
    <w:rsid w:val="20FB313D"/>
    <w:rsid w:val="220B4804"/>
    <w:rsid w:val="278B653F"/>
    <w:rsid w:val="282475E3"/>
    <w:rsid w:val="29E421D9"/>
    <w:rsid w:val="2C6100C1"/>
    <w:rsid w:val="3235157C"/>
    <w:rsid w:val="3264220D"/>
    <w:rsid w:val="32A83563"/>
    <w:rsid w:val="38872456"/>
    <w:rsid w:val="3963178C"/>
    <w:rsid w:val="3BA5236D"/>
    <w:rsid w:val="3CED0699"/>
    <w:rsid w:val="3EB02FD6"/>
    <w:rsid w:val="3F033B61"/>
    <w:rsid w:val="41CC2676"/>
    <w:rsid w:val="46B21672"/>
    <w:rsid w:val="4F552460"/>
    <w:rsid w:val="4FCC6863"/>
    <w:rsid w:val="500A214A"/>
    <w:rsid w:val="522D604D"/>
    <w:rsid w:val="5297585E"/>
    <w:rsid w:val="52AD7D6F"/>
    <w:rsid w:val="5549519D"/>
    <w:rsid w:val="5557596B"/>
    <w:rsid w:val="5B596DFC"/>
    <w:rsid w:val="5DAE6D00"/>
    <w:rsid w:val="5DF03945"/>
    <w:rsid w:val="5E3A769A"/>
    <w:rsid w:val="5F03526B"/>
    <w:rsid w:val="62E515AF"/>
    <w:rsid w:val="637C2815"/>
    <w:rsid w:val="653B446B"/>
    <w:rsid w:val="666B4FDC"/>
    <w:rsid w:val="67FF13C8"/>
    <w:rsid w:val="682144B7"/>
    <w:rsid w:val="6B503F77"/>
    <w:rsid w:val="6C3B126A"/>
    <w:rsid w:val="6E311968"/>
    <w:rsid w:val="7698E820"/>
    <w:rsid w:val="7A353D0B"/>
    <w:rsid w:val="7CB927D8"/>
    <w:rsid w:val="7D3A5E2F"/>
    <w:rsid w:val="7F7F21B7"/>
    <w:rsid w:val="E6AD73B9"/>
    <w:rsid w:val="FD5A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4">
    <w:name w:val="heading 2"/>
    <w:basedOn w:val="1"/>
    <w:next w:val="1"/>
    <w:link w:val="26"/>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5">
    <w:name w:val="heading 3"/>
    <w:basedOn w:val="1"/>
    <w:next w:val="1"/>
    <w:link w:val="27"/>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6">
    <w:name w:val="heading 4"/>
    <w:basedOn w:val="1"/>
    <w:next w:val="1"/>
    <w:link w:val="28"/>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7">
    <w:name w:val="heading 5"/>
    <w:basedOn w:val="1"/>
    <w:next w:val="1"/>
    <w:link w:val="29"/>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8">
    <w:name w:val="heading 6"/>
    <w:basedOn w:val="1"/>
    <w:next w:val="1"/>
    <w:link w:val="30"/>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9">
    <w:name w:val="heading 7"/>
    <w:basedOn w:val="1"/>
    <w:next w:val="1"/>
    <w:link w:val="31"/>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10">
    <w:name w:val="heading 8"/>
    <w:basedOn w:val="1"/>
    <w:next w:val="1"/>
    <w:link w:val="32"/>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1">
    <w:name w:val="heading 9"/>
    <w:basedOn w:val="1"/>
    <w:next w:val="1"/>
    <w:link w:val="33"/>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34"/>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spacing w:after="120"/>
      <w:ind w:left="420" w:leftChars="200"/>
    </w:pPr>
    <w:rPr>
      <w:rFonts w:ascii="Calibri" w:hAnsi="Calibri"/>
    </w:rPr>
  </w:style>
  <w:style w:type="paragraph" w:styleId="15">
    <w:name w:val="Balloon Text"/>
    <w:basedOn w:val="1"/>
    <w:link w:val="50"/>
    <w:semiHidden/>
    <w:unhideWhenUsed/>
    <w:qFormat/>
    <w:uiPriority w:val="99"/>
    <w:rPr>
      <w:sz w:val="18"/>
      <w:szCs w:val="18"/>
    </w:rPr>
  </w:style>
  <w:style w:type="paragraph" w:styleId="16">
    <w:name w:val="footer"/>
    <w:basedOn w:val="1"/>
    <w:link w:val="49"/>
    <w:unhideWhenUsed/>
    <w:qFormat/>
    <w:uiPriority w:val="99"/>
    <w:pPr>
      <w:tabs>
        <w:tab w:val="center" w:pos="4153"/>
        <w:tab w:val="right" w:pos="8306"/>
      </w:tabs>
      <w:snapToGrid w:val="0"/>
      <w:jc w:val="left"/>
    </w:pPr>
    <w:rPr>
      <w:rFonts w:ascii="Calibri" w:hAnsi="Calibri"/>
      <w:sz w:val="18"/>
      <w:szCs w:val="18"/>
    </w:rPr>
  </w:style>
  <w:style w:type="paragraph" w:styleId="17">
    <w:name w:val="header"/>
    <w:basedOn w:val="1"/>
    <w:link w:val="4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8">
    <w:name w:val="Subtitle"/>
    <w:basedOn w:val="1"/>
    <w:next w:val="1"/>
    <w:link w:val="35"/>
    <w:qFormat/>
    <w:uiPriority w:val="11"/>
    <w:pPr>
      <w:widowControl/>
      <w:spacing w:after="60"/>
      <w:jc w:val="center"/>
      <w:outlineLvl w:val="1"/>
    </w:pPr>
    <w:rPr>
      <w:rFonts w:asciiTheme="majorHAnsi" w:hAnsiTheme="majorHAnsi" w:eastAsiaTheme="majorEastAsia"/>
      <w:kern w:val="0"/>
      <w:sz w:val="24"/>
    </w:rPr>
  </w:style>
  <w:style w:type="paragraph" w:styleId="19">
    <w:name w:val="Body Text First Indent"/>
    <w:basedOn w:val="13"/>
    <w:qFormat/>
    <w:uiPriority w:val="0"/>
    <w:pPr>
      <w:spacing w:after="0"/>
      <w:ind w:firstLine="200" w:firstLineChars="200"/>
    </w:pPr>
  </w:style>
  <w:style w:type="paragraph" w:styleId="20">
    <w:name w:val="Body Text First Indent 2"/>
    <w:basedOn w:val="14"/>
    <w:qFormat/>
    <w:uiPriority w:val="0"/>
    <w:pPr>
      <w:ind w:firstLine="420" w:firstLineChars="200"/>
    </w:pPr>
  </w:style>
  <w:style w:type="character" w:styleId="23">
    <w:name w:val="Strong"/>
    <w:basedOn w:val="22"/>
    <w:qFormat/>
    <w:uiPriority w:val="0"/>
    <w:rPr>
      <w:b/>
      <w:bCs/>
    </w:rPr>
  </w:style>
  <w:style w:type="character" w:styleId="24">
    <w:name w:val="Emphasis"/>
    <w:basedOn w:val="22"/>
    <w:qFormat/>
    <w:uiPriority w:val="20"/>
    <w:rPr>
      <w:rFonts w:asciiTheme="minorHAnsi" w:hAnsiTheme="minorHAnsi"/>
      <w:b/>
      <w:i/>
      <w:iCs/>
    </w:rPr>
  </w:style>
  <w:style w:type="character" w:customStyle="1" w:styleId="25">
    <w:name w:val="标题 1 Char"/>
    <w:basedOn w:val="22"/>
    <w:link w:val="3"/>
    <w:qFormat/>
    <w:uiPriority w:val="9"/>
    <w:rPr>
      <w:rFonts w:asciiTheme="majorHAnsi" w:hAnsiTheme="majorHAnsi" w:eastAsiaTheme="majorEastAsia"/>
      <w:b/>
      <w:bCs/>
      <w:kern w:val="32"/>
      <w:sz w:val="32"/>
      <w:szCs w:val="32"/>
    </w:rPr>
  </w:style>
  <w:style w:type="character" w:customStyle="1" w:styleId="26">
    <w:name w:val="标题 2 Char"/>
    <w:basedOn w:val="22"/>
    <w:link w:val="4"/>
    <w:semiHidden/>
    <w:qFormat/>
    <w:uiPriority w:val="9"/>
    <w:rPr>
      <w:rFonts w:asciiTheme="majorHAnsi" w:hAnsiTheme="majorHAnsi" w:eastAsiaTheme="majorEastAsia"/>
      <w:b/>
      <w:bCs/>
      <w:i/>
      <w:iCs/>
      <w:sz w:val="28"/>
      <w:szCs w:val="28"/>
    </w:rPr>
  </w:style>
  <w:style w:type="character" w:customStyle="1" w:styleId="27">
    <w:name w:val="标题 3 Char"/>
    <w:basedOn w:val="22"/>
    <w:link w:val="5"/>
    <w:semiHidden/>
    <w:qFormat/>
    <w:uiPriority w:val="9"/>
    <w:rPr>
      <w:rFonts w:asciiTheme="majorHAnsi" w:hAnsiTheme="majorHAnsi" w:eastAsiaTheme="majorEastAsia"/>
      <w:b/>
      <w:bCs/>
      <w:sz w:val="26"/>
      <w:szCs w:val="26"/>
    </w:rPr>
  </w:style>
  <w:style w:type="character" w:customStyle="1" w:styleId="28">
    <w:name w:val="标题 4 Char"/>
    <w:basedOn w:val="22"/>
    <w:link w:val="6"/>
    <w:semiHidden/>
    <w:qFormat/>
    <w:uiPriority w:val="9"/>
    <w:rPr>
      <w:b/>
      <w:bCs/>
      <w:sz w:val="28"/>
      <w:szCs w:val="28"/>
    </w:rPr>
  </w:style>
  <w:style w:type="character" w:customStyle="1" w:styleId="29">
    <w:name w:val="标题 5 Char"/>
    <w:basedOn w:val="22"/>
    <w:link w:val="7"/>
    <w:semiHidden/>
    <w:qFormat/>
    <w:uiPriority w:val="9"/>
    <w:rPr>
      <w:b/>
      <w:bCs/>
      <w:i/>
      <w:iCs/>
      <w:sz w:val="26"/>
      <w:szCs w:val="26"/>
    </w:rPr>
  </w:style>
  <w:style w:type="character" w:customStyle="1" w:styleId="30">
    <w:name w:val="标题 6 Char"/>
    <w:basedOn w:val="22"/>
    <w:link w:val="8"/>
    <w:semiHidden/>
    <w:qFormat/>
    <w:uiPriority w:val="9"/>
    <w:rPr>
      <w:b/>
      <w:bCs/>
    </w:rPr>
  </w:style>
  <w:style w:type="character" w:customStyle="1" w:styleId="31">
    <w:name w:val="标题 7 Char"/>
    <w:basedOn w:val="22"/>
    <w:link w:val="9"/>
    <w:semiHidden/>
    <w:qFormat/>
    <w:uiPriority w:val="9"/>
    <w:rPr>
      <w:sz w:val="24"/>
      <w:szCs w:val="24"/>
    </w:rPr>
  </w:style>
  <w:style w:type="character" w:customStyle="1" w:styleId="32">
    <w:name w:val="标题 8 Char"/>
    <w:basedOn w:val="22"/>
    <w:link w:val="10"/>
    <w:semiHidden/>
    <w:qFormat/>
    <w:uiPriority w:val="9"/>
    <w:rPr>
      <w:i/>
      <w:iCs/>
      <w:sz w:val="24"/>
      <w:szCs w:val="24"/>
    </w:rPr>
  </w:style>
  <w:style w:type="character" w:customStyle="1" w:styleId="33">
    <w:name w:val="标题 9 Char"/>
    <w:basedOn w:val="22"/>
    <w:link w:val="11"/>
    <w:semiHidden/>
    <w:qFormat/>
    <w:uiPriority w:val="9"/>
    <w:rPr>
      <w:rFonts w:asciiTheme="majorHAnsi" w:hAnsiTheme="majorHAnsi" w:eastAsiaTheme="majorEastAsia"/>
    </w:rPr>
  </w:style>
  <w:style w:type="character" w:customStyle="1" w:styleId="34">
    <w:name w:val="标题 Char"/>
    <w:basedOn w:val="22"/>
    <w:link w:val="2"/>
    <w:qFormat/>
    <w:uiPriority w:val="10"/>
    <w:rPr>
      <w:rFonts w:asciiTheme="majorHAnsi" w:hAnsiTheme="majorHAnsi" w:eastAsiaTheme="majorEastAsia"/>
      <w:b/>
      <w:bCs/>
      <w:kern w:val="28"/>
      <w:sz w:val="32"/>
      <w:szCs w:val="32"/>
    </w:rPr>
  </w:style>
  <w:style w:type="character" w:customStyle="1" w:styleId="35">
    <w:name w:val="副标题 Char"/>
    <w:basedOn w:val="22"/>
    <w:link w:val="18"/>
    <w:qFormat/>
    <w:uiPriority w:val="11"/>
    <w:rPr>
      <w:rFonts w:asciiTheme="majorHAnsi" w:hAnsiTheme="majorHAnsi" w:eastAsiaTheme="majorEastAsia"/>
      <w:sz w:val="24"/>
      <w:szCs w:val="24"/>
    </w:rPr>
  </w:style>
  <w:style w:type="paragraph" w:styleId="36">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7">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8">
    <w:name w:val="Quote"/>
    <w:basedOn w:val="1"/>
    <w:next w:val="1"/>
    <w:link w:val="39"/>
    <w:qFormat/>
    <w:uiPriority w:val="29"/>
    <w:pPr>
      <w:widowControl/>
      <w:jc w:val="left"/>
    </w:pPr>
    <w:rPr>
      <w:rFonts w:asciiTheme="minorHAnsi" w:hAnsiTheme="minorHAnsi" w:eastAsiaTheme="minorEastAsia"/>
      <w:i/>
      <w:kern w:val="0"/>
      <w:sz w:val="24"/>
    </w:rPr>
  </w:style>
  <w:style w:type="character" w:customStyle="1" w:styleId="39">
    <w:name w:val="引用 Char"/>
    <w:basedOn w:val="22"/>
    <w:link w:val="38"/>
    <w:qFormat/>
    <w:uiPriority w:val="29"/>
    <w:rPr>
      <w:i/>
      <w:sz w:val="24"/>
      <w:szCs w:val="24"/>
    </w:rPr>
  </w:style>
  <w:style w:type="paragraph" w:styleId="40">
    <w:name w:val="Intense Quote"/>
    <w:basedOn w:val="1"/>
    <w:next w:val="1"/>
    <w:link w:val="41"/>
    <w:qFormat/>
    <w:uiPriority w:val="30"/>
    <w:pPr>
      <w:widowControl/>
      <w:ind w:left="720" w:right="720"/>
      <w:jc w:val="left"/>
    </w:pPr>
    <w:rPr>
      <w:rFonts w:asciiTheme="minorHAnsi" w:hAnsiTheme="minorHAnsi" w:eastAsiaTheme="minorEastAsia"/>
      <w:b/>
      <w:i/>
      <w:kern w:val="0"/>
      <w:sz w:val="24"/>
      <w:szCs w:val="22"/>
    </w:rPr>
  </w:style>
  <w:style w:type="character" w:customStyle="1" w:styleId="41">
    <w:name w:val="明显引用 Char"/>
    <w:basedOn w:val="22"/>
    <w:link w:val="40"/>
    <w:qFormat/>
    <w:uiPriority w:val="30"/>
    <w:rPr>
      <w:b/>
      <w:i/>
      <w:sz w:val="24"/>
    </w:rPr>
  </w:style>
  <w:style w:type="character" w:customStyle="1" w:styleId="42">
    <w:name w:val="不明显强调1"/>
    <w:qFormat/>
    <w:uiPriority w:val="19"/>
    <w:rPr>
      <w:i/>
      <w:color w:val="585858" w:themeColor="text1" w:themeTint="A6"/>
    </w:rPr>
  </w:style>
  <w:style w:type="character" w:customStyle="1" w:styleId="43">
    <w:name w:val="明显强调1"/>
    <w:basedOn w:val="22"/>
    <w:qFormat/>
    <w:uiPriority w:val="21"/>
    <w:rPr>
      <w:b/>
      <w:i/>
      <w:sz w:val="24"/>
      <w:szCs w:val="24"/>
      <w:u w:val="single"/>
    </w:rPr>
  </w:style>
  <w:style w:type="character" w:customStyle="1" w:styleId="44">
    <w:name w:val="不明显参考1"/>
    <w:basedOn w:val="22"/>
    <w:qFormat/>
    <w:uiPriority w:val="31"/>
    <w:rPr>
      <w:sz w:val="24"/>
      <w:szCs w:val="24"/>
      <w:u w:val="single"/>
    </w:rPr>
  </w:style>
  <w:style w:type="character" w:customStyle="1" w:styleId="45">
    <w:name w:val="明显参考1"/>
    <w:basedOn w:val="22"/>
    <w:qFormat/>
    <w:uiPriority w:val="32"/>
    <w:rPr>
      <w:b/>
      <w:sz w:val="24"/>
      <w:u w:val="single"/>
    </w:rPr>
  </w:style>
  <w:style w:type="character" w:customStyle="1" w:styleId="46">
    <w:name w:val="书籍标题1"/>
    <w:basedOn w:val="22"/>
    <w:qFormat/>
    <w:uiPriority w:val="33"/>
    <w:rPr>
      <w:rFonts w:asciiTheme="majorHAnsi" w:hAnsiTheme="majorHAnsi" w:eastAsiaTheme="majorEastAsia"/>
      <w:b/>
      <w:i/>
      <w:sz w:val="24"/>
      <w:szCs w:val="24"/>
    </w:rPr>
  </w:style>
  <w:style w:type="paragraph" w:customStyle="1" w:styleId="47">
    <w:name w:val="TOC 标题1"/>
    <w:basedOn w:val="3"/>
    <w:next w:val="1"/>
    <w:semiHidden/>
    <w:unhideWhenUsed/>
    <w:qFormat/>
    <w:uiPriority w:val="39"/>
    <w:pPr>
      <w:outlineLvl w:val="9"/>
    </w:pPr>
    <w:rPr>
      <w:lang w:eastAsia="en-US" w:bidi="en-US"/>
    </w:rPr>
  </w:style>
  <w:style w:type="character" w:customStyle="1" w:styleId="48">
    <w:name w:val="页眉 Char"/>
    <w:basedOn w:val="22"/>
    <w:link w:val="17"/>
    <w:qFormat/>
    <w:uiPriority w:val="99"/>
    <w:rPr>
      <w:rFonts w:ascii="Calibri" w:hAnsi="Calibri" w:eastAsia="宋体"/>
      <w:kern w:val="2"/>
      <w:sz w:val="18"/>
      <w:szCs w:val="18"/>
    </w:rPr>
  </w:style>
  <w:style w:type="character" w:customStyle="1" w:styleId="49">
    <w:name w:val="页脚 Char"/>
    <w:basedOn w:val="22"/>
    <w:link w:val="16"/>
    <w:qFormat/>
    <w:uiPriority w:val="99"/>
    <w:rPr>
      <w:rFonts w:ascii="Calibri" w:hAnsi="Calibri" w:eastAsia="宋体"/>
      <w:kern w:val="2"/>
      <w:sz w:val="18"/>
      <w:szCs w:val="18"/>
    </w:rPr>
  </w:style>
  <w:style w:type="character" w:customStyle="1" w:styleId="50">
    <w:name w:val="批注框文本 Char"/>
    <w:basedOn w:val="22"/>
    <w:link w:val="15"/>
    <w:semiHidden/>
    <w:qFormat/>
    <w:uiPriority w:val="99"/>
    <w:rPr>
      <w:rFonts w:ascii="Times New Roman" w:hAnsi="Times New Roman" w:eastAsia="宋体"/>
      <w:kern w:val="2"/>
      <w:sz w:val="18"/>
      <w:szCs w:val="18"/>
    </w:rPr>
  </w:style>
  <w:style w:type="paragraph" w:customStyle="1" w:styleId="51">
    <w:name w:val="Heading2"/>
    <w:next w:val="1"/>
    <w:qFormat/>
    <w:uiPriority w:val="0"/>
    <w:pPr>
      <w:keepNext/>
      <w:keepLines/>
      <w:widowControl w:val="0"/>
      <w:spacing w:before="260" w:after="260" w:line="413" w:lineRule="auto"/>
      <w:jc w:val="both"/>
    </w:pPr>
    <w:rPr>
      <w:rFonts w:ascii="Arial" w:hAnsi="Arial" w:eastAsia="黑体" w:cs="Times New Roman"/>
      <w:b/>
      <w:kern w:val="2"/>
      <w:sz w:val="32"/>
      <w:szCs w:val="22"/>
      <w:lang w:val="en-US" w:eastAsia="zh-CN" w:bidi="ar-SA"/>
    </w:rPr>
  </w:style>
  <w:style w:type="character" w:customStyle="1" w:styleId="52">
    <w:name w:val="fontstyle01"/>
    <w:qFormat/>
    <w:uiPriority w:val="0"/>
    <w:rPr>
      <w:rFonts w:ascii="仿宋_GB2312" w:hAnsi="仿宋_GB2312" w:eastAsia="仿宋_GB2312" w:cs="仿宋_GB2312"/>
      <w:color w:val="000000"/>
      <w:sz w:val="32"/>
      <w:szCs w:val="32"/>
    </w:rPr>
  </w:style>
  <w:style w:type="paragraph" w:customStyle="1" w:styleId="53">
    <w:name w:val="闻政-正文段落文字"/>
    <w:basedOn w:val="1"/>
    <w:qFormat/>
    <w:uiPriority w:val="3"/>
    <w:pPr>
      <w:spacing w:line="500" w:lineRule="exact"/>
      <w:ind w:firstLine="200"/>
    </w:pPr>
    <w:rPr>
      <w:kern w:val="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9235</Words>
  <Characters>9810</Characters>
  <Lines>63</Lines>
  <Paragraphs>17</Paragraphs>
  <TotalTime>8</TotalTime>
  <ScaleCrop>false</ScaleCrop>
  <LinksUpToDate>false</LinksUpToDate>
  <CharactersWithSpaces>9838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2020-07-05T00:35:00Z</dcterms:created>
  <dc:creator>赵 恺（预算处）</dc:creator>
  <cp:lastModifiedBy>Leon</cp:lastModifiedBy>
  <cp:lastPrinted>2023-03-17T23:59:00Z</cp:lastPrinted>
  <dcterms:modified xsi:type="dcterms:W3CDTF">2024-08-28T06:34:31Z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013360FACCE1418B80C968824022A9DF</vt:lpwstr>
  </property>
  <property fmtid="{D5CDD505-2E9C-101B-9397-08002B2CF9AE}" pid="4" name="KSOSaveFontToCloudKey">
    <vt:lpwstr>0_btnclosed</vt:lpwstr>
  </property>
</Properties>
</file>